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6"/>
        </w:rPr>
      </w:pPr>
      <w:bookmarkStart w:id="0" w:name="d87527ds3a.htm"/>
      <w:bookmarkStart w:id="1" w:name="ksd87527ds3a"/>
      <w:bookmarkEnd w:id="0"/>
      <w:bookmarkEnd w:id="1"/>
      <w:r>
        <w:rPr>
          <w:rFonts w:ascii="Times New Roman" w:hAnsi="Times New Roman"/>
          <w:b/>
          <w:sz w:val="16"/>
        </w:rPr>
        <w:t xml:space="preserve">As filed with the Securities and Exchange Commission on September 22,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333-296917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center"/>
        <w:rPr>
          <w:rFonts w:ascii="Times New Roman" w:hAnsi="Times New Roman"/>
          <w:b/>
          <w:sz w:val="28"/>
        </w:rPr>
      </w:pPr>
      <w:r>
        <w:rPr>
          <w:rFonts w:ascii="Times New Roman" w:hAnsi="Times New Roman"/>
          <w:b/>
          <w:sz w:val="28"/>
        </w:rPr>
        <w:t xml:space="preserve">AMENDMENT NO. 3 </w:t>
      </w:r>
    </w:p>
    <w:p>
      <w:pPr>
        <w:pStyle w:val="TextBody"/>
        <w:bidi w:val="0"/>
        <w:spacing w:before="80" w:after="0"/>
        <w:jc w:val="center"/>
        <w:rPr>
          <w:rFonts w:ascii="Times New Roman" w:hAnsi="Times New Roman"/>
          <w:b/>
          <w:sz w:val="28"/>
        </w:rPr>
      </w:pPr>
      <w:r>
        <w:rPr>
          <w:rFonts w:ascii="Times New Roman" w:hAnsi="Times New Roman"/>
          <w:b/>
          <w:sz w:val="28"/>
        </w:rPr>
        <w:t xml:space="preserve">TO </w:t>
      </w:r>
    </w:p>
    <w:p>
      <w:pPr>
        <w:pStyle w:val="TextBody"/>
        <w:bidi w:val="0"/>
        <w:spacing w:before="80" w:after="0"/>
        <w:jc w:val="center"/>
        <w:rPr>
          <w:rFonts w:ascii="Times New Roman" w:hAnsi="Times New Roman"/>
          <w:b/>
          <w:sz w:val="28"/>
        </w:rPr>
      </w:pPr>
      <w:r>
        <w:rPr>
          <w:rFonts w:ascii="Times New Roman" w:hAnsi="Times New Roman"/>
          <w:b/>
          <w:sz w:val="28"/>
        </w:rPr>
        <w:t xml:space="preserve">FORM S-3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SENTI BIOSCIENCES HOLDINGS,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42-1912154</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No.)</w:t>
            </w:r>
          </w:p>
        </w:tc>
      </w:tr>
    </w:tbl>
    <w:p>
      <w:pPr>
        <w:pStyle w:val="TextBody"/>
        <w:bidi w:val="0"/>
        <w:spacing w:before="80" w:after="0"/>
        <w:jc w:val="center"/>
        <w:rPr>
          <w:rFonts w:ascii="Times New Roman" w:hAnsi="Times New Roman"/>
          <w:b/>
          <w:sz w:val="16"/>
        </w:rPr>
      </w:pPr>
      <w:r>
        <w:rPr>
          <w:rFonts w:ascii="Times New Roman" w:hAnsi="Times New Roman"/>
          <w:b/>
          <w:sz w:val="16"/>
        </w:rPr>
        <w:t xml:space="preserve">2 Corporate Drive, First Floor </w:t>
      </w:r>
    </w:p>
    <w:p>
      <w:pPr>
        <w:pStyle w:val="TextBody"/>
        <w:bidi w:val="0"/>
        <w:spacing w:before="0" w:after="0"/>
        <w:jc w:val="center"/>
        <w:rPr>
          <w:rFonts w:ascii="Times New Roman" w:hAnsi="Times New Roman"/>
          <w:b/>
          <w:sz w:val="16"/>
        </w:rPr>
      </w:pPr>
      <w:r>
        <w:rPr>
          <w:rFonts w:ascii="Times New Roman" w:hAnsi="Times New Roman"/>
          <w:b/>
          <w:sz w:val="16"/>
        </w:rPr>
        <w:t xml:space="preserve">South San Francisco, CA 94080 </w:t>
      </w:r>
    </w:p>
    <w:p>
      <w:pPr>
        <w:pStyle w:val="TextBody"/>
        <w:bidi w:val="0"/>
        <w:spacing w:before="0" w:after="0"/>
        <w:jc w:val="center"/>
        <w:rPr>
          <w:rFonts w:ascii="Times New Roman" w:hAnsi="Times New Roman"/>
          <w:b/>
          <w:sz w:val="16"/>
        </w:rPr>
      </w:pPr>
      <w:r>
        <w:rPr>
          <w:rFonts w:ascii="Times New Roman" w:hAnsi="Times New Roman"/>
          <w:b/>
          <w:sz w:val="16"/>
        </w:rPr>
        <w:t xml:space="preserve">(650) 239-2030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Timothy Lu, M.D., Ph.D.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Senti Biosciences Holdings, Inc. </w:t>
      </w:r>
    </w:p>
    <w:p>
      <w:pPr>
        <w:pStyle w:val="TextBody"/>
        <w:bidi w:val="0"/>
        <w:spacing w:before="0" w:after="0"/>
        <w:jc w:val="center"/>
        <w:rPr>
          <w:rFonts w:ascii="Times New Roman" w:hAnsi="Times New Roman"/>
          <w:b/>
          <w:sz w:val="16"/>
        </w:rPr>
      </w:pPr>
      <w:r>
        <w:rPr>
          <w:rFonts w:ascii="Times New Roman" w:hAnsi="Times New Roman"/>
          <w:b/>
          <w:sz w:val="16"/>
        </w:rPr>
        <w:t xml:space="preserve">2 Corporate Drive, First Floor </w:t>
      </w:r>
    </w:p>
    <w:p>
      <w:pPr>
        <w:pStyle w:val="TextBody"/>
        <w:bidi w:val="0"/>
        <w:spacing w:before="0" w:after="0"/>
        <w:jc w:val="center"/>
        <w:rPr>
          <w:rFonts w:ascii="Times New Roman" w:hAnsi="Times New Roman"/>
          <w:b/>
          <w:sz w:val="16"/>
        </w:rPr>
      </w:pPr>
      <w:r>
        <w:rPr>
          <w:rFonts w:ascii="Times New Roman" w:hAnsi="Times New Roman"/>
          <w:b/>
          <w:sz w:val="16"/>
        </w:rPr>
        <w:t xml:space="preserve">South San Francisco, CA 94080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(650) 239-2030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40" w:after="0"/>
        <w:jc w:val="center"/>
        <w:rPr>
          <w:rFonts w:ascii="Times New Roman" w:hAnsi="Times New Roman"/>
          <w:b/>
          <w:sz w:val="16"/>
        </w:rPr>
      </w:pPr>
      <w:r>
        <w:rPr>
          <w:rFonts w:ascii="Times New Roman" w:hAnsi="Times New Roman"/>
          <w:b/>
          <w:sz w:val="16"/>
        </w:rPr>
        <w:t xml:space="preserve">Kirt W. Shuldberg </w:t>
      </w:r>
    </w:p>
    <w:p>
      <w:pPr>
        <w:pStyle w:val="TextBody"/>
        <w:bidi w:val="0"/>
        <w:spacing w:before="0" w:after="0"/>
        <w:jc w:val="center"/>
        <w:rPr>
          <w:rFonts w:ascii="Times New Roman" w:hAnsi="Times New Roman"/>
          <w:b/>
          <w:sz w:val="16"/>
        </w:rPr>
      </w:pPr>
      <w:r>
        <w:rPr>
          <w:rFonts w:ascii="Times New Roman" w:hAnsi="Times New Roman"/>
          <w:b/>
          <w:sz w:val="16"/>
        </w:rPr>
        <w:t xml:space="preserve">Keith J. Scherer </w:t>
      </w:r>
    </w:p>
    <w:p>
      <w:pPr>
        <w:pStyle w:val="TextBody"/>
        <w:bidi w:val="0"/>
        <w:spacing w:before="0" w:after="0"/>
        <w:jc w:val="center"/>
        <w:rPr>
          <w:rFonts w:ascii="Times New Roman" w:hAnsi="Times New Roman"/>
          <w:b/>
          <w:sz w:val="16"/>
        </w:rPr>
      </w:pPr>
      <w:r>
        <w:rPr>
          <w:rFonts w:ascii="Times New Roman" w:hAnsi="Times New Roman"/>
          <w:b/>
          <w:sz w:val="16"/>
        </w:rPr>
        <w:t xml:space="preserve">Alexa Belonick </w:t>
      </w:r>
    </w:p>
    <w:p>
      <w:pPr>
        <w:pStyle w:val="TextBody"/>
        <w:bidi w:val="0"/>
        <w:spacing w:before="0" w:after="0"/>
        <w:jc w:val="center"/>
        <w:rPr>
          <w:rFonts w:ascii="Times New Roman" w:hAnsi="Times New Roman"/>
          <w:b/>
          <w:sz w:val="16"/>
        </w:rPr>
      </w:pPr>
      <w:r>
        <w:rPr>
          <w:rFonts w:ascii="Times New Roman" w:hAnsi="Times New Roman"/>
          <w:b/>
          <w:sz w:val="16"/>
        </w:rPr>
        <w:t xml:space="preserve">Gunderson Dettmer Stough Villeneuve Franklin &amp; Hachigian, LLP </w:t>
      </w:r>
    </w:p>
    <w:p>
      <w:pPr>
        <w:pStyle w:val="TextBody"/>
        <w:bidi w:val="0"/>
        <w:spacing w:before="0" w:after="0"/>
        <w:jc w:val="center"/>
        <w:rPr>
          <w:rFonts w:ascii="Times New Roman" w:hAnsi="Times New Roman"/>
          <w:b/>
          <w:sz w:val="16"/>
        </w:rPr>
      </w:pPr>
      <w:r>
        <w:rPr>
          <w:rFonts w:ascii="Times New Roman" w:hAnsi="Times New Roman"/>
          <w:b/>
          <w:sz w:val="16"/>
        </w:rPr>
        <w:t xml:space="preserve">One Bush Plaza, Suite 1200 </w:t>
      </w:r>
    </w:p>
    <w:p>
      <w:pPr>
        <w:pStyle w:val="TextBody"/>
        <w:bidi w:val="0"/>
        <w:spacing w:before="0" w:after="0"/>
        <w:jc w:val="center"/>
        <w:rPr>
          <w:rFonts w:ascii="Times New Roman" w:hAnsi="Times New Roman"/>
          <w:b/>
          <w:sz w:val="16"/>
        </w:rPr>
      </w:pPr>
      <w:r>
        <w:rPr>
          <w:rFonts w:ascii="Times New Roman" w:hAnsi="Times New Roman"/>
          <w:b/>
          <w:sz w:val="16"/>
        </w:rPr>
        <w:t xml:space="preserve">San Francisco, CA 94104 </w:t>
      </w:r>
    </w:p>
    <w:p>
      <w:pPr>
        <w:pStyle w:val="TextBody"/>
        <w:bidi w:val="0"/>
        <w:spacing w:before="0" w:after="0"/>
        <w:jc w:val="center"/>
        <w:rPr>
          <w:rFonts w:ascii="Times New Roman" w:hAnsi="Times New Roman"/>
          <w:b/>
          <w:sz w:val="16"/>
        </w:rPr>
      </w:pPr>
      <w:r>
        <w:rPr>
          <w:rFonts w:ascii="Times New Roman" w:hAnsi="Times New Roman"/>
          <w:b/>
          <w:sz w:val="16"/>
        </w:rPr>
        <w:t xml:space="preserve">(858) 436-8000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this Registration Statement becomes effective. </w:t>
      </w:r>
    </w:p>
    <w:p>
      <w:pPr>
        <w:pStyle w:val="TextBody"/>
        <w:bidi w:val="0"/>
        <w:spacing w:before="8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2"/>
        <w:gridCol w:w="104"/>
        <w:gridCol w:w="4799"/>
        <w:gridCol w:w="132"/>
        <w:gridCol w:w="2669"/>
        <w:gridCol w:w="104"/>
        <w:gridCol w:w="265"/>
      </w:tblGrid>
      <w:tr>
        <w:trPr/>
        <w:tc>
          <w:tcPr>
            <w:tcW w:w="21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6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6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left"/>
        <w:rPr>
          <w:rFonts w:ascii="Times New Roman" w:hAnsi="Times New Roman"/>
          <w:b/>
          <w:sz w:val="16"/>
        </w:rPr>
      </w:pPr>
      <w:r>
        <w:rPr>
          <w:rFonts w:ascii="Times New Roman" w:hAnsi="Times New Roman"/>
          <w:b/>
          <w:sz w:val="16"/>
        </w:rPr>
        <w:t xml:space="preserve">The registrant (the “Registrant”) hereby amends this registration statement, or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Senti Biosciences Holdings, Inc. is filing this Amendment No. 3 (this “Amendment”) to the Registration Statement on Form S-3 (File No. 333-296917) as an exhibits-only filing to file an updated auditor consent as Exhibit 23.1. Accordingly, this Amendment consists only of the facing page, this explanatory note, Item 16 of Part II of the Registration Statement, the signature page to the Registration Statement and the filed Exhibit 23.1. The remainder of the Registration Statement is unchanged and has been omitted.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Statements Schedules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8"/>
        <w:gridCol w:w="301"/>
        <w:gridCol w:w="3418"/>
        <w:gridCol w:w="191"/>
        <w:gridCol w:w="249"/>
        <w:gridCol w:w="976"/>
        <w:gridCol w:w="60"/>
        <w:gridCol w:w="191"/>
        <w:gridCol w:w="60"/>
        <w:gridCol w:w="887"/>
        <w:gridCol w:w="60"/>
        <w:gridCol w:w="191"/>
        <w:gridCol w:w="91"/>
        <w:gridCol w:w="679"/>
        <w:gridCol w:w="60"/>
        <w:gridCol w:w="191"/>
        <w:gridCol w:w="1972"/>
      </w:tblGrid>
      <w:tr>
        <w:trPr/>
        <w:tc>
          <w:tcPr>
            <w:tcW w:w="628"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3418"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628"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341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667" w:type="dxa"/>
            <w:gridSpan w:val="13"/>
            <w:tcBorders/>
            <w:vAlign w:val="bottom"/>
          </w:tcPr>
          <w:p>
            <w:pPr>
              <w:pStyle w:val="TableContents"/>
              <w:bidi w:val="0"/>
              <w:spacing w:before="0" w:after="283"/>
              <w:jc w:val="center"/>
              <w:rPr>
                <w:b/>
              </w:rPr>
            </w:pPr>
            <w:r>
              <w:rPr>
                <w:b/>
              </w:rPr>
              <w:t>Incorporated by Reference</w:t>
            </w:r>
          </w:p>
        </w:tc>
      </w:tr>
      <w:tr>
        <w:trPr/>
        <w:tc>
          <w:tcPr>
            <w:tcW w:w="628"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301" w:type="dxa"/>
            <w:tcBorders/>
            <w:vAlign w:val="bottom"/>
          </w:tcPr>
          <w:p>
            <w:pPr>
              <w:pStyle w:val="TableContents"/>
              <w:bidi w:val="0"/>
              <w:spacing w:before="0" w:after="283"/>
              <w:jc w:val="left"/>
              <w:rPr/>
            </w:pPr>
            <w:r>
              <w:rPr/>
              <w:t>  </w:t>
            </w:r>
          </w:p>
        </w:tc>
        <w:tc>
          <w:tcPr>
            <w:tcW w:w="3418" w:type="dxa"/>
            <w:tcBorders/>
            <w:vAlign w:val="bottom"/>
          </w:tcPr>
          <w:p>
            <w:pPr>
              <w:pStyle w:val="TableContents"/>
              <w:bidi w:val="0"/>
              <w:spacing w:before="0" w:after="283"/>
              <w:jc w:val="center"/>
              <w:rPr>
                <w:b/>
              </w:rPr>
            </w:pPr>
            <w:r>
              <w:rPr>
                <w:b/>
              </w:rPr>
              <w:t>Description</w:t>
            </w:r>
          </w:p>
        </w:tc>
        <w:tc>
          <w:tcPr>
            <w:tcW w:w="191" w:type="dxa"/>
            <w:tcBorders/>
            <w:vAlign w:val="bottom"/>
          </w:tcPr>
          <w:p>
            <w:pPr>
              <w:pStyle w:val="TableContents"/>
              <w:bidi w:val="0"/>
              <w:spacing w:before="0" w:after="283"/>
              <w:jc w:val="left"/>
              <w:rPr/>
            </w:pPr>
            <w:r>
              <w:rPr/>
              <w:t>  </w:t>
            </w:r>
          </w:p>
        </w:tc>
        <w:tc>
          <w:tcPr>
            <w:tcW w:w="1225" w:type="dxa"/>
            <w:gridSpan w:val="2"/>
            <w:tcBorders/>
            <w:vAlign w:val="bottom"/>
          </w:tcPr>
          <w:p>
            <w:pPr>
              <w:pStyle w:val="TableContents"/>
              <w:bidi w:val="0"/>
              <w:spacing w:before="0" w:after="283"/>
              <w:jc w:val="center"/>
              <w:rPr>
                <w:b/>
              </w:rPr>
            </w:pPr>
            <w:r>
              <w:rPr>
                <w:b/>
              </w:rPr>
              <w:t>Schedule/Form</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vAlign w:val="bottom"/>
          </w:tcPr>
          <w:p>
            <w:pPr>
              <w:pStyle w:val="TableContents"/>
              <w:bidi w:val="0"/>
              <w:spacing w:before="0" w:after="283"/>
              <w:jc w:val="center"/>
              <w:rPr>
                <w:b/>
              </w:rPr>
            </w:pPr>
            <w:r>
              <w:rPr>
                <w:b/>
              </w:rPr>
              <w:t>Filing Date</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2.1^</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r>
              <w:fldChar w:fldCharType="begin"/>
            </w:r>
            <w:r>
              <w:rPr>
                <w:rStyle w:val="InternetLink"/>
              </w:rPr>
              <w:instrText xml:space="preserve"> HYPERLINK "http://www.sec.gov/Archives/edgar/data/1854270/000119312522146450/d189920ds4a.htm" \l "rom189920_361"</w:instrText>
            </w:r>
            <w:r>
              <w:rPr>
                <w:rStyle w:val="InternetLink"/>
              </w:rPr>
              <w:fldChar w:fldCharType="separate"/>
            </w:r>
            <w:r>
              <w:rPr>
                <w:rStyle w:val="InternetLink"/>
              </w:rPr>
              <w:t xml:space="preserve">Business Combination Agreement, dated as of December  19, 2021, by and among Dynamics Special Purpose Corp., Explore Merger Sub, Inc. and Senti Biosciences, Inc. </w:t>
            </w:r>
            <w:r>
              <w:rPr>
                <w:rStyle w:val="InternetLink"/>
              </w:rPr>
              <w:fldChar w:fldCharType="end"/>
            </w:r>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S-4/A</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333-262707</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May 10, 2022</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2.2^</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r>
              <w:fldChar w:fldCharType="begin"/>
            </w:r>
            <w:r>
              <w:rPr>
                <w:rStyle w:val="InternetLink"/>
              </w:rPr>
              <w:instrText xml:space="preserve"> HYPERLINK "http://www.sec.gov/Archives/edgar/data/1854270/000119312522146450/d189920ds4a.htm" \l "rom189920_361b"</w:instrText>
            </w:r>
            <w:r>
              <w:rPr>
                <w:rStyle w:val="InternetLink"/>
              </w:rPr>
              <w:fldChar w:fldCharType="separate"/>
            </w:r>
            <w:r>
              <w:rPr>
                <w:rStyle w:val="InternetLink"/>
              </w:rPr>
              <w:t xml:space="preserve">Amendment No. 1 to Business Combination Agreement, dated as of February  12, 2022, by and among Dynamics Special Purpose Corp., Explore Merger Sub, Inc. and Senti Biosciences, Inc. </w:t>
            </w:r>
            <w:r>
              <w:rPr>
                <w:rStyle w:val="InternetLink"/>
              </w:rPr>
              <w:fldChar w:fldCharType="end"/>
            </w:r>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S-4/A</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333-262707</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2.2</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May 10, 2022</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2.3^</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hyperlink r:id="rId2">
              <w:r>
                <w:rPr>
                  <w:rStyle w:val="InternetLink"/>
                </w:rPr>
                <w:t xml:space="preserve">Amendment No. 2 to Business Combination Agreement, dated as of May  19, 2022, by and among Dynamics Special Purpose Corp., Explore Merger Sub, Inc. and Senti Biosciences, Inc. </w:t>
              </w:r>
            </w:hyperlink>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May 24, 2022</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2.4^</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hyperlink r:id="rId3">
              <w:r>
                <w:rPr>
                  <w:rStyle w:val="InternetLink"/>
                </w:rPr>
                <w:t xml:space="preserve">Agreement and Plan of Merger, dated April  24, 2026, by and among Senti Biosciences, Inc., Senti Biosciences Holdings, Inc. and Senti Biosciences Merger Sub, Inc. </w:t>
              </w:r>
            </w:hyperlink>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April 24, 2026</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3.1</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hyperlink r:id="rId4">
              <w:r>
                <w:rPr>
                  <w:rStyle w:val="InternetLink"/>
                </w:rPr>
                <w:t xml:space="preserve">Amended and Restated Certificate of Incorporation of Senti Biosciences Holdings, Inc. </w:t>
              </w:r>
            </w:hyperlink>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3.1</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April 24, 2026</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3.2</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hyperlink r:id="rId5">
              <w:r>
                <w:rPr>
                  <w:rStyle w:val="InternetLink"/>
                </w:rPr>
                <w:t xml:space="preserve">Amended and Restated Bylaws of Senti Biosciences Holdings, Inc. </w:t>
              </w:r>
            </w:hyperlink>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3.2</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April 24, 2026</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3.3</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hyperlink r:id="rId6">
              <w:r>
                <w:rPr>
                  <w:rStyle w:val="InternetLink"/>
                </w:rPr>
                <w:t xml:space="preserve">Certificate of Merger </w:t>
              </w:r>
            </w:hyperlink>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3.3</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April 24, 2026</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3.4</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hyperlink r:id="rId7">
              <w:r>
                <w:rPr>
                  <w:rStyle w:val="InternetLink"/>
                </w:rPr>
                <w:t xml:space="preserve">Amended and Restated Bylaws of Senti Biosciences, Inc. </w:t>
              </w:r>
            </w:hyperlink>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3.2</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June 15, 2022</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4.1</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hyperlink r:id="rId8">
              <w:r>
                <w:rPr>
                  <w:rStyle w:val="InternetLink"/>
                </w:rPr>
                <w:t xml:space="preserve">Specimen Common Stock Certificate </w:t>
              </w:r>
            </w:hyperlink>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4.1</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April 24, 2026</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4.2</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hyperlink r:id="rId9">
              <w:r>
                <w:rPr>
                  <w:rStyle w:val="InternetLink"/>
                </w:rPr>
                <w:t xml:space="preserve">Form of Senior Secured Convertible Note of Senti Holdings, Inc. </w:t>
              </w:r>
            </w:hyperlink>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September 4, 2026</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5.1</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hyperlink r:id="rId10">
              <w:r>
                <w:rPr>
                  <w:rStyle w:val="InternetLink"/>
                </w:rPr>
                <w:t xml:space="preserve">Opinion of Gunderson Dettmer Stough Villeneuve Franklin &amp; Hachigian, LLP </w:t>
              </w:r>
            </w:hyperlink>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333-296917</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5.1</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September 10, 2026</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21" w:type="dxa"/>
            <w:gridSpan w:val="4"/>
            <w:tcBorders/>
            <w:vAlign w:val="center"/>
          </w:tcPr>
          <w:p>
            <w:pPr>
              <w:pStyle w:val="TableContents"/>
              <w:bidi w:val="0"/>
              <w:spacing w:before="0" w:after="283"/>
              <w:jc w:val="left"/>
              <w:rPr>
                <w:sz w:val="4"/>
                <w:szCs w:val="4"/>
              </w:rPr>
            </w:pPr>
            <w:r>
              <w:rPr>
                <w:sz w:val="4"/>
                <w:szCs w:val="4"/>
              </w:rPr>
            </w:r>
          </w:p>
        </w:tc>
        <w:tc>
          <w:tcPr>
            <w:tcW w:w="2163"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10.1</w:t>
            </w:r>
          </w:p>
        </w:tc>
        <w:tc>
          <w:tcPr>
            <w:tcW w:w="301" w:type="dxa"/>
            <w:tcBorders/>
            <w:vAlign w:val="bottom"/>
          </w:tcPr>
          <w:p>
            <w:pPr>
              <w:pStyle w:val="TableContents"/>
              <w:bidi w:val="0"/>
              <w:spacing w:before="0" w:after="283"/>
              <w:jc w:val="left"/>
              <w:rPr/>
            </w:pPr>
            <w:r>
              <w:rPr/>
              <w:t>  </w:t>
            </w:r>
          </w:p>
        </w:tc>
        <w:tc>
          <w:tcPr>
            <w:tcW w:w="3418" w:type="dxa"/>
            <w:tcBorders/>
          </w:tcPr>
          <w:p>
            <w:pPr>
              <w:pStyle w:val="TableContents"/>
              <w:bidi w:val="0"/>
              <w:spacing w:before="0" w:after="283"/>
              <w:jc w:val="left"/>
              <w:rPr/>
            </w:pPr>
            <w:hyperlink r:id="rId11">
              <w:r>
                <w:rPr>
                  <w:rStyle w:val="InternetLink"/>
                </w:rPr>
                <w:t xml:space="preserve">Securities Purchase Agreement, dated April  27, 2026, by and among Senti Biosciences Holdings, Inc., Senti Holdings, Inc., Senti Biosciences, Inc. and the purchaser named therein </w:t>
              </w:r>
            </w:hyperlink>
          </w:p>
        </w:tc>
        <w:tc>
          <w:tcPr>
            <w:tcW w:w="19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976"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87"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72" w:type="dxa"/>
            <w:tcBorders/>
          </w:tcPr>
          <w:p>
            <w:pPr>
              <w:pStyle w:val="TableContents"/>
              <w:bidi w:val="0"/>
              <w:spacing w:before="0" w:after="283"/>
              <w:jc w:val="left"/>
              <w:rPr/>
            </w:pPr>
            <w:r>
              <w:rPr/>
              <w:t>May 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06"/>
        <w:gridCol w:w="238"/>
        <w:gridCol w:w="3348"/>
        <w:gridCol w:w="189"/>
        <w:gridCol w:w="254"/>
        <w:gridCol w:w="993"/>
        <w:gridCol w:w="60"/>
        <w:gridCol w:w="189"/>
        <w:gridCol w:w="60"/>
        <w:gridCol w:w="906"/>
        <w:gridCol w:w="60"/>
        <w:gridCol w:w="189"/>
        <w:gridCol w:w="92"/>
        <w:gridCol w:w="710"/>
        <w:gridCol w:w="60"/>
        <w:gridCol w:w="189"/>
        <w:gridCol w:w="2062"/>
      </w:tblGrid>
      <w:tr>
        <w:trPr/>
        <w:tc>
          <w:tcPr>
            <w:tcW w:w="606"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606"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5824" w:type="dxa"/>
            <w:gridSpan w:val="13"/>
            <w:tcBorders/>
            <w:vAlign w:val="bottom"/>
          </w:tcPr>
          <w:p>
            <w:pPr>
              <w:pStyle w:val="TableContents"/>
              <w:bidi w:val="0"/>
              <w:spacing w:before="0" w:after="283"/>
              <w:jc w:val="center"/>
              <w:rPr>
                <w:b/>
              </w:rPr>
            </w:pPr>
            <w:r>
              <w:rPr>
                <w:b/>
              </w:rPr>
              <w:t>Incorporated by Reference</w:t>
            </w:r>
          </w:p>
        </w:tc>
      </w:tr>
      <w:tr>
        <w:trPr/>
        <w:tc>
          <w:tcPr>
            <w:tcW w:w="606"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238"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center"/>
              <w:rPr>
                <w:b/>
              </w:rPr>
            </w:pPr>
            <w:r>
              <w:rPr>
                <w:b/>
              </w:rPr>
              <w:t>Description</w:t>
            </w:r>
          </w:p>
        </w:tc>
        <w:tc>
          <w:tcPr>
            <w:tcW w:w="189"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bidi w:val="0"/>
              <w:spacing w:before="0" w:after="283"/>
              <w:jc w:val="center"/>
              <w:rPr>
                <w:b/>
              </w:rPr>
            </w:pPr>
            <w:r>
              <w:rPr>
                <w:b/>
              </w:rPr>
              <w:t>Schedule/Form</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66" w:type="dxa"/>
            <w:gridSpan w:val="2"/>
            <w:tcBorders/>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02" w:type="dxa"/>
            <w:gridSpan w:val="2"/>
            <w:tcBorders/>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vAlign w:val="bottom"/>
          </w:tcPr>
          <w:p>
            <w:pPr>
              <w:pStyle w:val="TableContents"/>
              <w:bidi w:val="0"/>
              <w:spacing w:before="0" w:after="283"/>
              <w:jc w:val="center"/>
              <w:rPr>
                <w:b/>
              </w:rPr>
            </w:pPr>
            <w:r>
              <w:rPr>
                <w:b/>
              </w:rPr>
              <w:t>Filing Date</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10.2</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r:id="rId12">
              <w:r>
                <w:rPr>
                  <w:rStyle w:val="InternetLink"/>
                </w:rPr>
                <w:t xml:space="preserve">Form of Guarantee </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10.3</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May 1, 2026</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10.3</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r:id="rId13">
              <w:r>
                <w:rPr>
                  <w:rStyle w:val="InternetLink"/>
                </w:rPr>
                <w:t xml:space="preserve">Form of Registration Rights Agreement by and among Senti Biosciences Holdings, Inc., Senti Biosciences, Inc. and any investor to be named therein </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10.4</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May 1, 2026</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10.4</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r:id="rId14">
              <w:r>
                <w:rPr>
                  <w:rStyle w:val="InternetLink"/>
                </w:rPr>
                <w:t xml:space="preserve">Form of Voting Agreement by and among Senti Biosciences Holdings, Inc., Senti Biosciences, Inc. and the stockholders to be party thereto </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10.5</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May 1, 2026</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10.5</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r:id="rId15">
              <w:r>
                <w:rPr>
                  <w:rStyle w:val="InternetLink"/>
                </w:rPr>
                <w:t xml:space="preserve">Amended and Restated Designation Agreement, dated as of April  24, 2026, by and among Senti Biosciences Holdings, Inc., Senti Biosciences, Inc. and Celadon Partners SPV 24 </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April 24, 2026</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10.6^</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r:id="rId16">
              <w:r>
                <w:rPr>
                  <w:rStyle w:val="InternetLink"/>
                </w:rPr>
                <w:t xml:space="preserve">Agreement and Plan of Merger, dated as of July  14, 2026, by and among Senti Biosciences Holdings, Inc., Senti Holdings, Inc., Senti Biosciences, Inc., Celadon Partners SPV 35 Limited and Senti Merger Sub, Inc. </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July 15, 2026</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10.7</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r:id="rId17">
              <w:r>
                <w:rPr>
                  <w:rStyle w:val="InternetLink"/>
                </w:rPr>
                <w:t xml:space="preserve">Form of Contingent Value Rights Agreement </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July 15, 2026</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10.8</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r:id="rId18">
              <w:r>
                <w:rPr>
                  <w:rStyle w:val="InternetLink"/>
                </w:rPr>
                <w:t xml:space="preserve">Amendment No. 1 to Securities Purchase Agreement, dated September  1, 2026, by and among Senti Biosciences Holdings, Inc., Senti Holdings, Inc., Senti Biosciences, Inc. and the purchasers named therein </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September 2, 2026</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10.9</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r:id="rId19">
              <w:r>
                <w:rPr>
                  <w:rStyle w:val="InternetLink"/>
                </w:rPr>
                <w:t xml:space="preserve">Equity Commitment Letter, dated September  3, 2026, by and between Senti Biosciences Holdings, Inc. and CPIF II-9 Limited </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10.2</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September 4, 2026</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23.1*</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w:anchor="d87527dex231.htm">
              <w:r>
                <w:rPr>
                  <w:rStyle w:val="InternetLink"/>
                </w:rPr>
                <w:t xml:space="preserve">Consent of KPMG LLP, Independent Registered Public Accounting Firm </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sz w:val="4"/>
                <w:szCs w:val="4"/>
              </w:rPr>
            </w:pPr>
            <w:r>
              <w:rPr>
                <w:sz w:val="4"/>
                <w:szCs w:val="4"/>
              </w:rPr>
            </w:r>
          </w:p>
        </w:tc>
        <w:tc>
          <w:tcPr>
            <w:tcW w:w="99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0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71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sz w:val="4"/>
                <w:szCs w:val="4"/>
              </w:rPr>
            </w:pPr>
            <w:r>
              <w:rPr>
                <w:sz w:val="4"/>
                <w:szCs w:val="4"/>
              </w:rPr>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23.2</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r:id="rId20">
              <w:r>
                <w:rPr>
                  <w:rStyle w:val="InternetLink"/>
                </w:rPr>
                <w:t>Consent of Gunderson Dettmer Stough Villeneuve Franklin &amp; Hachigian, LLP</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333-296917</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5.1</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September 10, 2026</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24.1</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r>
              <w:fldChar w:fldCharType="begin"/>
            </w:r>
            <w:r>
              <w:rPr>
                <w:rStyle w:val="InternetLink"/>
              </w:rPr>
              <w:instrText xml:space="preserve"> HYPERLINK "http://www.sec.gov/Archives/edgar/data/1854270/000119312526276079/d87527ds3.htm" \l "sig"</w:instrText>
            </w:r>
            <w:r>
              <w:rPr>
                <w:rStyle w:val="InternetLink"/>
              </w:rPr>
              <w:fldChar w:fldCharType="separate"/>
            </w:r>
            <w:r>
              <w:rPr>
                <w:rStyle w:val="InternetLink"/>
              </w:rPr>
              <w:t xml:space="preserve">Power of Attorney </w:t>
            </w:r>
            <w:r>
              <w:rPr>
                <w:rStyle w:val="InternetLink"/>
              </w:rPr>
              <w:fldChar w:fldCharType="end"/>
            </w:r>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333-296917</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24.1</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June 18, 2026</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99.1</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r:id="rId21">
              <w:r>
                <w:rPr>
                  <w:rStyle w:val="InternetLink"/>
                </w:rPr>
                <w:t>Unaudited Pro Forma Condensed Consolidated Financial Information</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333-296917</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99.1</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September 10, 2026</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225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107</w:t>
            </w:r>
          </w:p>
        </w:tc>
        <w:tc>
          <w:tcPr>
            <w:tcW w:w="238"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hyperlink r:id="rId22">
              <w:r>
                <w:rPr>
                  <w:rStyle w:val="InternetLink"/>
                </w:rPr>
                <w:t>Filing Fee Table</w:t>
              </w:r>
            </w:hyperlink>
          </w:p>
        </w:tc>
        <w:tc>
          <w:tcPr>
            <w:tcW w:w="189"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06" w:type="dxa"/>
            <w:tcBorders/>
          </w:tcPr>
          <w:p>
            <w:pPr>
              <w:pStyle w:val="TableContents"/>
              <w:bidi w:val="0"/>
              <w:spacing w:before="0" w:after="283"/>
              <w:jc w:val="right"/>
              <w:rPr/>
            </w:pPr>
            <w:r>
              <w:rPr/>
              <w:t>333-296917</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10" w:type="dxa"/>
            <w:tcBorders/>
          </w:tcPr>
          <w:p>
            <w:pPr>
              <w:pStyle w:val="TableContents"/>
              <w:bidi w:val="0"/>
              <w:spacing w:before="0" w:after="283"/>
              <w:jc w:val="right"/>
              <w:rPr/>
            </w:pPr>
            <w:r>
              <w:rPr/>
              <w:t>107</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September 10,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exhibits and schedules to this Exhibit have been omitted in accordance with Regulation S-K Item 601(b)(2). We agree to furnish supplementally a copy of all omitted exhibits and schedules to the Securities and Exchange Commission upon its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this Form S-3 and has duly caused this registration statement to be signed on its behalf by the undersigned, thereunto duly authorized in the City of South San Francisco, CA on September 22,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SENTI BIOSCIENCES HOLDINGS,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Timothy Lu</w:t>
            </w:r>
          </w:p>
        </w:tc>
      </w:tr>
      <w:tr>
        <w:trPr/>
        <w:tc>
          <w:tcPr>
            <w:tcW w:w="394"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Timothy Lu, M.D., Ph.D.</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1"/>
        <w:gridCol w:w="120"/>
        <w:gridCol w:w="3758"/>
        <w:gridCol w:w="182"/>
        <w:gridCol w:w="2104"/>
      </w:tblGrid>
      <w:tr>
        <w:trPr/>
        <w:tc>
          <w:tcPr>
            <w:tcW w:w="40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4041"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758" w:type="dxa"/>
            <w:tcBorders/>
            <w:vAlign w:val="bottom"/>
          </w:tcPr>
          <w:p>
            <w:pPr>
              <w:pStyle w:val="TableContents"/>
              <w:bidi w:val="0"/>
              <w:spacing w:before="0" w:after="283"/>
              <w:jc w:val="center"/>
              <w:rPr>
                <w:b/>
              </w:rPr>
            </w:pPr>
            <w:r>
              <w:rPr>
                <w:b/>
              </w:rPr>
              <w:t>Title</w:t>
            </w:r>
          </w:p>
        </w:tc>
        <w:tc>
          <w:tcPr>
            <w:tcW w:w="182" w:type="dxa"/>
            <w:tcBorders/>
            <w:vAlign w:val="bottom"/>
          </w:tcPr>
          <w:p>
            <w:pPr>
              <w:pStyle w:val="TableContents"/>
              <w:bidi w:val="0"/>
              <w:spacing w:before="0" w:after="283"/>
              <w:jc w:val="left"/>
              <w:rPr/>
            </w:pPr>
            <w:r>
              <w:rPr/>
              <w:t> </w:t>
            </w:r>
          </w:p>
        </w:tc>
        <w:tc>
          <w:tcPr>
            <w:tcW w:w="2104" w:type="dxa"/>
            <w:tcBorders/>
            <w:vAlign w:val="bottom"/>
          </w:tcPr>
          <w:p>
            <w:pPr>
              <w:pStyle w:val="TableContents"/>
              <w:bidi w:val="0"/>
              <w:spacing w:before="0" w:after="283"/>
              <w:jc w:val="center"/>
              <w:rPr>
                <w:b/>
              </w:rPr>
            </w:pPr>
            <w:r>
              <w:rPr>
                <w:b/>
              </w:rPr>
              <w:t>Date</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Timothy Lu, M.D., Ph.D.</w:t>
            </w:r>
          </w:p>
        </w:tc>
        <w:tc>
          <w:tcPr>
            <w:tcW w:w="120"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82"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center"/>
              <w:rPr/>
            </w:pPr>
            <w:r>
              <w:rPr/>
              <w:t>September 22,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Jay Cross</w:t>
            </w:r>
          </w:p>
        </w:tc>
        <w:tc>
          <w:tcPr>
            <w:tcW w:w="120"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0"/>
              <w:jc w:val="center"/>
              <w:rPr>
                <w:rFonts w:ascii="Times New Roman" w:hAnsi="Times New Roman"/>
                <w:sz w:val="20"/>
              </w:rPr>
            </w:pPr>
            <w:r>
              <w:rPr>
                <w:rFonts w:ascii="Times New Roman" w:hAnsi="Times New Roman"/>
                <w:sz w:val="20"/>
              </w:rPr>
              <w:t>(Principal Financial Officer and</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82"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center"/>
              <w:rPr/>
            </w:pPr>
            <w:r>
              <w:rPr/>
              <w:t>September 22,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Bryan Baum</w:t>
            </w:r>
          </w:p>
        </w:tc>
        <w:tc>
          <w:tcPr>
            <w:tcW w:w="120"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center"/>
              <w:rPr/>
            </w:pPr>
            <w:r>
              <w:rPr/>
              <w:t>September 22,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James (Jim) Collins, Ph.D.</w:t>
            </w:r>
          </w:p>
        </w:tc>
        <w:tc>
          <w:tcPr>
            <w:tcW w:w="120"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center"/>
              <w:rPr/>
            </w:pPr>
            <w:r>
              <w:rPr/>
              <w:t>September 22,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Brenda Cooperstone, M.D.</w:t>
            </w:r>
          </w:p>
        </w:tc>
        <w:tc>
          <w:tcPr>
            <w:tcW w:w="120"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center"/>
              <w:rPr/>
            </w:pPr>
            <w:r>
              <w:rPr/>
              <w:t>September 22,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Feng Hsiung</w:t>
            </w:r>
          </w:p>
        </w:tc>
        <w:tc>
          <w:tcPr>
            <w:tcW w:w="120"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center"/>
              <w:rPr/>
            </w:pPr>
            <w:r>
              <w:rPr/>
              <w:t>September 22,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Edward Mathers</w:t>
            </w:r>
          </w:p>
        </w:tc>
        <w:tc>
          <w:tcPr>
            <w:tcW w:w="120"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center"/>
              <w:rPr/>
            </w:pPr>
            <w:r>
              <w:rPr/>
              <w:t>September 22,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Frances D. Schulz</w:t>
            </w:r>
          </w:p>
        </w:tc>
        <w:tc>
          <w:tcPr>
            <w:tcW w:w="120"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center"/>
              <w:rPr/>
            </w:pPr>
            <w:r>
              <w:rPr/>
              <w:t>September 22,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Donald Tang</w:t>
            </w:r>
          </w:p>
        </w:tc>
        <w:tc>
          <w:tcPr>
            <w:tcW w:w="120"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center"/>
              <w:rPr/>
            </w:pPr>
            <w:r>
              <w:rPr/>
              <w:t>September 22, 2026</w:t>
            </w:r>
          </w:p>
        </w:tc>
      </w:tr>
    </w:tbl>
    <w:p>
      <w:pPr>
        <w:pStyle w:val="TextBody"/>
        <w:bidi w:val="0"/>
        <w:spacing w:before="240" w:after="0"/>
        <w:jc w:val="left"/>
        <w:rPr>
          <w:rFonts w:ascii="Times New Roman" w:hAnsi="Times New Roman"/>
          <w:sz w:val="20"/>
        </w:rPr>
      </w:pPr>
      <w:r>
        <w:rPr>
          <w:rFonts w:ascii="Times New Roman" w:hAnsi="Times New Roman"/>
          <w:sz w:val="20"/>
        </w:rPr>
        <w:t>*: By:</w:t>
      </w:r>
      <w:r>
        <w:rPr>
          <w:rFonts w:ascii="Times New Roman" w:hAnsi="Times New Roman"/>
          <w:sz w:val="20"/>
          <w:u w:val="single"/>
        </w:rPr>
        <w:t xml:space="preserve"> /s/ Timothy Lu, M.D., Ph.D.      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Timothy Lu, M.D., Ph.D. </w:t>
      </w:r>
    </w:p>
    <w:p>
      <w:pPr>
        <w:pStyle w:val="TextBody"/>
        <w:bidi w:val="0"/>
        <w:spacing w:before="0" w:after="0"/>
        <w:jc w:val="left"/>
        <w:rPr>
          <w:rFonts w:ascii="Times New Roman" w:hAnsi="Times New Roman"/>
          <w:sz w:val="20"/>
        </w:rPr>
      </w:pPr>
      <w:r>
        <w:rPr>
          <w:rFonts w:ascii="Times New Roman" w:hAnsi="Times New Roman"/>
          <w:sz w:val="20"/>
        </w:rPr>
        <w:t xml:space="preserve">Attorney-in-Fact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p>
    <w:p>
      <w:pPr>
        <w:pStyle w:val="TextBody"/>
        <w:bidi w:val="0"/>
        <w:spacing w:before="0" w:after="0"/>
        <w:jc w:val="right"/>
        <w:rPr>
          <w:rFonts w:ascii="Times New Roman" w:hAnsi="Times New Roman"/>
          <w:b/>
          <w:sz w:val="20"/>
        </w:rPr>
      </w:pPr>
      <w:bookmarkStart w:id="3" w:name="d87527dex231.htm"/>
      <w:bookmarkStart w:id="4" w:name="ksd87527dex231"/>
      <w:bookmarkEnd w:id="3"/>
      <w:bookmarkEnd w:id="4"/>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27, 2026, with respect to the consolidated financial statements of Senti Biosciences, Inc. and subsidiaries, incorporated herein by reference, and to the reference to our firm under the heading “Experts” in the prospectus.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September 22,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54270/000119312522158089/d282881dex21.htm" TargetMode="External"/><Relationship Id="rId3" Type="http://schemas.openxmlformats.org/officeDocument/2006/relationships/hyperlink" Target="http://www.sec.gov/Archives/edgar/data/0001854270/000119312526177157/d279931dex21.htm" TargetMode="External"/><Relationship Id="rId4" Type="http://schemas.openxmlformats.org/officeDocument/2006/relationships/hyperlink" Target="http://www.sec.gov/Archives/edgar/data/0001854270/000119312526177157/d279931dex31.htm" TargetMode="External"/><Relationship Id="rId5" Type="http://schemas.openxmlformats.org/officeDocument/2006/relationships/hyperlink" Target="http://www.sec.gov/Archives/edgar/data/0001854270/000119312526177157/d279931dex32.htm" TargetMode="External"/><Relationship Id="rId6" Type="http://schemas.openxmlformats.org/officeDocument/2006/relationships/hyperlink" Target="http://www.sec.gov/Archives/edgar/data/0001854270/000119312526177157/d279931dex33.htm" TargetMode="External"/><Relationship Id="rId7" Type="http://schemas.openxmlformats.org/officeDocument/2006/relationships/hyperlink" Target="http://www.sec.gov/Archives/edgar/data/0001854270/000119312522174498/d360749dex32.htm" TargetMode="External"/><Relationship Id="rId8" Type="http://schemas.openxmlformats.org/officeDocument/2006/relationships/hyperlink" Target="http://www.sec.gov/Archives/edgar/data/0001854270/000119312526177157/d279931dex41.htm" TargetMode="External"/><Relationship Id="rId9" Type="http://schemas.openxmlformats.org/officeDocument/2006/relationships/hyperlink" Target="http://www.sec.gov/Archives/edgar/data/0001854270/000162828026029320/exhibit102-formofnote.htm" TargetMode="External"/><Relationship Id="rId10" Type="http://schemas.openxmlformats.org/officeDocument/2006/relationships/hyperlink" Target="http://www.sec.gov/Archives/edgar/data/1854270/000119312526388031/d87527dex51.htm" TargetMode="External"/><Relationship Id="rId11" Type="http://schemas.openxmlformats.org/officeDocument/2006/relationships/hyperlink" Target="http://www.sec.gov/Archives/edgar/data/0001854270/000162828026029320/exhibit101-securitiespurch.htm" TargetMode="External"/><Relationship Id="rId12" Type="http://schemas.openxmlformats.org/officeDocument/2006/relationships/hyperlink" Target="http://www.sec.gov/Archives/edgar/data/0001854270/000162828026029320/exhibit103-formofguarantee.htm" TargetMode="External"/><Relationship Id="rId13" Type="http://schemas.openxmlformats.org/officeDocument/2006/relationships/hyperlink" Target="http://www.sec.gov/Archives/edgar/data/0001854270/000162828026029320/exhibit104-formofregistrat.htm" TargetMode="External"/><Relationship Id="rId14" Type="http://schemas.openxmlformats.org/officeDocument/2006/relationships/hyperlink" Target="http://www.sec.gov/Archives/edgar/data/0001854270/000162828026029320/exhibit105-formofvotingagr.htm" TargetMode="External"/><Relationship Id="rId15" Type="http://schemas.openxmlformats.org/officeDocument/2006/relationships/hyperlink" Target="http://www.sec.gov/Archives/edgar/data/0001854270/000119312526177157/d279931dex101.htm" TargetMode="External"/><Relationship Id="rId16" Type="http://schemas.openxmlformats.org/officeDocument/2006/relationships/hyperlink" Target="http://www.sec.gov/Archives/edgar/data/1854270/000162828026048248/exhibit21-agreementandplan.htm" TargetMode="External"/><Relationship Id="rId17" Type="http://schemas.openxmlformats.org/officeDocument/2006/relationships/hyperlink" Target="http://www.sec.gov/Archives/edgar/data/1854270/000162828026048248/exhibit101-contingentvalue.htm" TargetMode="External"/><Relationship Id="rId18" Type="http://schemas.openxmlformats.org/officeDocument/2006/relationships/hyperlink" Target="http://www.sec.gov/Archives/edgar/data/1854270/000162828026060124/exhibit101_amendmentno1tos.htm" TargetMode="External"/><Relationship Id="rId19" Type="http://schemas.openxmlformats.org/officeDocument/2006/relationships/hyperlink" Target="http://www.sec.gov/Archives/edgar/data/1854270/000162828026060600/ex102_equitycommitmentlett.htm" TargetMode="External"/><Relationship Id="rId20" Type="http://schemas.openxmlformats.org/officeDocument/2006/relationships/hyperlink" Target="http://www.sec.gov/Archives/edgar/data/1854270/000119312526388031/d87527dex51.htm" TargetMode="External"/><Relationship Id="rId21" Type="http://schemas.openxmlformats.org/officeDocument/2006/relationships/hyperlink" Target="http://www.sec.gov/Archives/edgar/data/1854270/000119312526388031/d87527dex991.htm" TargetMode="External"/><Relationship Id="rId22" Type="http://schemas.openxmlformats.org/officeDocument/2006/relationships/hyperlink" Target="http://www.sec.gov/Archives/edgar/data/1854270/000119312526388031/d87527dexfilingfees.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1600</Words>
  <Characters>8857</Characters>
  <CharactersWithSpaces>10780</CharactersWithSpaces>
  <Paragraphs>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