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7527ds3a.htm"/>
        <w:bookmarkStart w:id="1" w:name="ksd87527ds3a"/>
        <w:bookmarkEnd w:id="0"/>
        <w:bookmarkEnd w:id="1"/>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July 16, 2026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333-296917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28"/>
        </w:rPr>
      </w:pPr>
      <w:r>
        <w:rPr>
          <w:rFonts w:ascii="Times New Roman" w:hAnsi="Times New Roman"/>
          <w:b/>
          <w:sz w:val="28"/>
        </w:rPr>
        <w:t xml:space="preserve">UNITED STATES </w:t>
      </w:r>
    </w:p>
    <w:p>
      <w:pPr>
        <w:pStyle w:val="TextBody"/>
        <w:bidi w:val="0"/>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center"/>
        <w:rPr>
          <w:rFonts w:ascii="Times New Roman" w:hAnsi="Times New Roman"/>
          <w:b/>
          <w:sz w:val="28"/>
        </w:rPr>
      </w:pPr>
      <w:r>
        <w:rPr>
          <w:rFonts w:ascii="Times New Roman" w:hAnsi="Times New Roman"/>
          <w:b/>
          <w:sz w:val="28"/>
        </w:rPr>
        <w:t xml:space="preserve">AMENDMENT NO. 1 </w:t>
      </w:r>
    </w:p>
    <w:p>
      <w:pPr>
        <w:pStyle w:val="TextBody"/>
        <w:bidi w:val="0"/>
        <w:spacing w:before="80" w:after="0"/>
        <w:jc w:val="center"/>
        <w:rPr>
          <w:rFonts w:ascii="Times New Roman" w:hAnsi="Times New Roman"/>
          <w:b/>
          <w:sz w:val="28"/>
        </w:rPr>
      </w:pPr>
      <w:r>
        <w:rPr>
          <w:rFonts w:ascii="Times New Roman" w:hAnsi="Times New Roman"/>
          <w:b/>
          <w:sz w:val="28"/>
        </w:rPr>
        <w:t xml:space="preserve">TO </w:t>
      </w:r>
    </w:p>
    <w:p>
      <w:pPr>
        <w:pStyle w:val="TextBody"/>
        <w:bidi w:val="0"/>
        <w:spacing w:before="80" w:after="0"/>
        <w:jc w:val="center"/>
        <w:rPr>
          <w:rFonts w:ascii="Times New Roman" w:hAnsi="Times New Roman"/>
          <w:b/>
          <w:sz w:val="28"/>
        </w:rPr>
      </w:pPr>
      <w:r>
        <w:rPr>
          <w:rFonts w:ascii="Times New Roman" w:hAnsi="Times New Roman"/>
          <w:b/>
          <w:sz w:val="28"/>
        </w:rPr>
        <w:t xml:space="preserve">FORM S-3 </w:t>
      </w:r>
    </w:p>
    <w:p>
      <w:pPr>
        <w:pStyle w:val="TextBody"/>
        <w:bidi w:val="0"/>
        <w:spacing w:before="0" w:after="0"/>
        <w:jc w:val="center"/>
        <w:rPr>
          <w:rFonts w:ascii="Times New Roman" w:hAnsi="Times New Roman"/>
          <w:b/>
          <w:sz w:val="28"/>
        </w:rPr>
      </w:pPr>
      <w:r>
        <w:rPr>
          <w:rFonts w:ascii="Times New Roman" w:hAnsi="Times New Roman"/>
          <w:b/>
          <w:sz w:val="28"/>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SENTI BIOSCIENCES HOLDINGS,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2836</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42-1912154</w:t>
            </w:r>
          </w:p>
        </w:tc>
      </w:tr>
      <w:tr>
        <w:trPr/>
        <w:tc>
          <w:tcPr>
            <w:tcW w:w="3469" w:type="dxa"/>
            <w:tcBorders/>
          </w:tcPr>
          <w:p>
            <w:pPr>
              <w:pStyle w:val="TableContents"/>
              <w:bidi w:val="0"/>
              <w:spacing w:before="0" w:after="0"/>
              <w:jc w:val="center"/>
              <w:rPr>
                <w:rFonts w:ascii="Times New Roman" w:hAnsi="Times New Roman"/>
                <w:b/>
                <w:sz w:val="14"/>
              </w:rPr>
            </w:pPr>
            <w:r>
              <w:rPr>
                <w:rFonts w:ascii="Times New Roman" w:hAnsi="Times New Roman"/>
                <w:b/>
                <w:sz w:val="14"/>
              </w:rPr>
              <w:t>(State or other jurisdiction of</w:t>
            </w:r>
          </w:p>
          <w:p>
            <w:pPr>
              <w:pStyle w:val="TableContents"/>
              <w:bidi w:val="0"/>
              <w:spacing w:before="0" w:after="20"/>
              <w:jc w:val="center"/>
              <w:rPr>
                <w:rFonts w:ascii="Times New Roman" w:hAnsi="Times New Roman"/>
                <w:b/>
                <w:sz w:val="14"/>
              </w:rPr>
            </w:pPr>
            <w:r>
              <w:rPr>
                <w:rFonts w:ascii="Times New Roman" w:hAnsi="Times New Roman"/>
                <w:b/>
                <w:sz w:val="14"/>
              </w:rPr>
              <w:t>incorporation or organization)</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4"/>
              </w:rPr>
            </w:pPr>
            <w:r>
              <w:rPr>
                <w:rFonts w:ascii="Times New Roman" w:hAnsi="Times New Roman"/>
                <w:b/>
                <w:sz w:val="14"/>
              </w:rPr>
              <w:t>(Primary Standard Industrial</w:t>
            </w:r>
          </w:p>
          <w:p>
            <w:pPr>
              <w:pStyle w:val="TableContents"/>
              <w:bidi w:val="0"/>
              <w:spacing w:before="0" w:after="20"/>
              <w:jc w:val="center"/>
              <w:rPr>
                <w:rFonts w:ascii="Times New Roman" w:hAnsi="Times New Roman"/>
                <w:b/>
                <w:sz w:val="14"/>
              </w:rPr>
            </w:pPr>
            <w:r>
              <w:rPr>
                <w:rFonts w:ascii="Times New Roman" w:hAnsi="Times New Roman"/>
                <w:b/>
                <w:sz w:val="14"/>
              </w:rP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4"/>
              </w:rPr>
            </w:pPr>
            <w:r>
              <w:rPr>
                <w:rFonts w:ascii="Times New Roman" w:hAnsi="Times New Roman"/>
                <w:b/>
                <w:sz w:val="14"/>
              </w:rPr>
              <w:t>(I.R.S. Employer</w:t>
            </w:r>
          </w:p>
          <w:p>
            <w:pPr>
              <w:pStyle w:val="TableContents"/>
              <w:bidi w:val="0"/>
              <w:spacing w:before="0" w:after="20"/>
              <w:jc w:val="center"/>
              <w:rPr>
                <w:rFonts w:ascii="Times New Roman" w:hAnsi="Times New Roman"/>
                <w:b/>
                <w:sz w:val="14"/>
              </w:rPr>
            </w:pPr>
            <w:r>
              <w:rPr>
                <w:rFonts w:ascii="Times New Roman" w:hAnsi="Times New Roman"/>
                <w:b/>
                <w:sz w:val="14"/>
              </w:rPr>
              <w:t>Identification No.)</w:t>
            </w:r>
          </w:p>
        </w:tc>
      </w:tr>
    </w:tbl>
    <w:p>
      <w:pPr>
        <w:pStyle w:val="TextBody"/>
        <w:bidi w:val="0"/>
        <w:spacing w:before="80" w:after="0"/>
        <w:jc w:val="center"/>
        <w:rPr>
          <w:rFonts w:ascii="Times New Roman" w:hAnsi="Times New Roman"/>
          <w:b/>
          <w:sz w:val="16"/>
        </w:rPr>
      </w:pPr>
      <w:r>
        <w:rPr>
          <w:rFonts w:ascii="Times New Roman" w:hAnsi="Times New Roman"/>
          <w:b/>
          <w:sz w:val="16"/>
        </w:rPr>
        <w:t xml:space="preserve">2 Corporate Drive, First Floor </w:t>
      </w:r>
    </w:p>
    <w:p>
      <w:pPr>
        <w:pStyle w:val="TextBody"/>
        <w:bidi w:val="0"/>
        <w:spacing w:before="0" w:after="0"/>
        <w:jc w:val="center"/>
        <w:rPr>
          <w:rFonts w:ascii="Times New Roman" w:hAnsi="Times New Roman"/>
          <w:b/>
          <w:sz w:val="16"/>
        </w:rPr>
      </w:pPr>
      <w:r>
        <w:rPr>
          <w:rFonts w:ascii="Times New Roman" w:hAnsi="Times New Roman"/>
          <w:b/>
          <w:sz w:val="16"/>
        </w:rPr>
        <w:t xml:space="preserve">South San Francisco, CA 94080 </w:t>
      </w:r>
    </w:p>
    <w:p>
      <w:pPr>
        <w:pStyle w:val="TextBody"/>
        <w:bidi w:val="0"/>
        <w:spacing w:before="0" w:after="0"/>
        <w:jc w:val="center"/>
        <w:rPr>
          <w:rFonts w:ascii="Times New Roman" w:hAnsi="Times New Roman"/>
          <w:b/>
          <w:sz w:val="16"/>
        </w:rPr>
      </w:pPr>
      <w:r>
        <w:rPr>
          <w:rFonts w:ascii="Times New Roman" w:hAnsi="Times New Roman"/>
          <w:b/>
          <w:sz w:val="16"/>
        </w:rPr>
        <w:t xml:space="preserve">(650) 239-2030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16"/>
        </w:rPr>
      </w:pPr>
      <w:r>
        <w:rPr>
          <w:rFonts w:ascii="Times New Roman" w:hAnsi="Times New Roman"/>
          <w:b/>
          <w:sz w:val="16"/>
        </w:rPr>
        <w:t xml:space="preserve">Timothy Lu, M.D., Ph.D. </w:t>
      </w:r>
    </w:p>
    <w:p>
      <w:pPr>
        <w:pStyle w:val="TextBody"/>
        <w:bidi w:val="0"/>
        <w:spacing w:before="0" w:after="0"/>
        <w:jc w:val="center"/>
        <w:rPr>
          <w:rFonts w:ascii="Times New Roman" w:hAnsi="Times New Roman"/>
          <w:b/>
          <w:sz w:val="16"/>
        </w:rPr>
      </w:pPr>
      <w:r>
        <w:rPr>
          <w:rFonts w:ascii="Times New Roman" w:hAnsi="Times New Roman"/>
          <w:b/>
          <w:sz w:val="16"/>
        </w:rPr>
        <w:t xml:space="preserve">Chief Executive Officer </w:t>
      </w:r>
    </w:p>
    <w:p>
      <w:pPr>
        <w:pStyle w:val="TextBody"/>
        <w:bidi w:val="0"/>
        <w:spacing w:before="0" w:after="0"/>
        <w:jc w:val="center"/>
        <w:rPr>
          <w:rFonts w:ascii="Times New Roman" w:hAnsi="Times New Roman"/>
          <w:b/>
          <w:sz w:val="16"/>
        </w:rPr>
      </w:pPr>
      <w:r>
        <w:rPr>
          <w:rFonts w:ascii="Times New Roman" w:hAnsi="Times New Roman"/>
          <w:b/>
          <w:sz w:val="16"/>
        </w:rPr>
        <w:t xml:space="preserve">Senti Biosciences Holdings, Inc. </w:t>
      </w:r>
    </w:p>
    <w:p>
      <w:pPr>
        <w:pStyle w:val="TextBody"/>
        <w:bidi w:val="0"/>
        <w:spacing w:before="0" w:after="0"/>
        <w:jc w:val="center"/>
        <w:rPr>
          <w:rFonts w:ascii="Times New Roman" w:hAnsi="Times New Roman"/>
          <w:b/>
          <w:sz w:val="16"/>
        </w:rPr>
      </w:pPr>
      <w:r>
        <w:rPr>
          <w:rFonts w:ascii="Times New Roman" w:hAnsi="Times New Roman"/>
          <w:b/>
          <w:sz w:val="16"/>
        </w:rPr>
        <w:t xml:space="preserve">2 Corporate Drive, First Floor </w:t>
      </w:r>
    </w:p>
    <w:p>
      <w:pPr>
        <w:pStyle w:val="TextBody"/>
        <w:bidi w:val="0"/>
        <w:spacing w:before="0" w:after="0"/>
        <w:jc w:val="center"/>
        <w:rPr>
          <w:rFonts w:ascii="Times New Roman" w:hAnsi="Times New Roman"/>
          <w:b/>
          <w:sz w:val="16"/>
        </w:rPr>
      </w:pPr>
      <w:r>
        <w:rPr>
          <w:rFonts w:ascii="Times New Roman" w:hAnsi="Times New Roman"/>
          <w:b/>
          <w:sz w:val="16"/>
        </w:rPr>
        <w:t xml:space="preserve">South San Francisco, CA 94080 </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(650) 239-2030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40" w:after="0"/>
        <w:jc w:val="center"/>
        <w:rPr>
          <w:rFonts w:ascii="Times New Roman" w:hAnsi="Times New Roman"/>
          <w:b/>
          <w:sz w:val="16"/>
        </w:rPr>
      </w:pPr>
      <w:r>
        <w:rPr>
          <w:rFonts w:ascii="Times New Roman" w:hAnsi="Times New Roman"/>
          <w:b/>
          <w:sz w:val="16"/>
        </w:rPr>
        <w:t xml:space="preserve">Kirt W. Shuldberg </w:t>
      </w:r>
    </w:p>
    <w:p>
      <w:pPr>
        <w:pStyle w:val="TextBody"/>
        <w:bidi w:val="0"/>
        <w:spacing w:before="0" w:after="0"/>
        <w:jc w:val="center"/>
        <w:rPr>
          <w:rFonts w:ascii="Times New Roman" w:hAnsi="Times New Roman"/>
          <w:b/>
          <w:sz w:val="16"/>
        </w:rPr>
      </w:pPr>
      <w:r>
        <w:rPr>
          <w:rFonts w:ascii="Times New Roman" w:hAnsi="Times New Roman"/>
          <w:b/>
          <w:sz w:val="16"/>
        </w:rPr>
        <w:t xml:space="preserve">Keith J. Scherer </w:t>
      </w:r>
    </w:p>
    <w:p>
      <w:pPr>
        <w:pStyle w:val="TextBody"/>
        <w:bidi w:val="0"/>
        <w:spacing w:before="0" w:after="0"/>
        <w:jc w:val="center"/>
        <w:rPr>
          <w:rFonts w:ascii="Times New Roman" w:hAnsi="Times New Roman"/>
          <w:b/>
          <w:sz w:val="16"/>
        </w:rPr>
      </w:pPr>
      <w:r>
        <w:rPr>
          <w:rFonts w:ascii="Times New Roman" w:hAnsi="Times New Roman"/>
          <w:b/>
          <w:sz w:val="16"/>
        </w:rPr>
        <w:t xml:space="preserve">Alexa Belonick </w:t>
      </w:r>
    </w:p>
    <w:p>
      <w:pPr>
        <w:pStyle w:val="TextBody"/>
        <w:bidi w:val="0"/>
        <w:spacing w:before="0" w:after="0"/>
        <w:jc w:val="center"/>
        <w:rPr>
          <w:rFonts w:ascii="Times New Roman" w:hAnsi="Times New Roman"/>
          <w:b/>
          <w:sz w:val="16"/>
        </w:rPr>
      </w:pPr>
      <w:r>
        <w:rPr>
          <w:rFonts w:ascii="Times New Roman" w:hAnsi="Times New Roman"/>
          <w:b/>
          <w:sz w:val="16"/>
        </w:rPr>
        <w:t xml:space="preserve">Gunderson Dettmer Stough Villeneuve Franklin &amp; Hachigian, LLP </w:t>
      </w:r>
    </w:p>
    <w:p>
      <w:pPr>
        <w:pStyle w:val="TextBody"/>
        <w:bidi w:val="0"/>
        <w:spacing w:before="0" w:after="0"/>
        <w:jc w:val="center"/>
        <w:rPr>
          <w:rFonts w:ascii="Times New Roman" w:hAnsi="Times New Roman"/>
          <w:b/>
          <w:sz w:val="16"/>
        </w:rPr>
      </w:pPr>
      <w:r>
        <w:rPr>
          <w:rFonts w:ascii="Times New Roman" w:hAnsi="Times New Roman"/>
          <w:b/>
          <w:sz w:val="16"/>
        </w:rPr>
        <w:t xml:space="preserve">One Bush Plaza, Suite 1200 </w:t>
      </w:r>
    </w:p>
    <w:p>
      <w:pPr>
        <w:pStyle w:val="TextBody"/>
        <w:bidi w:val="0"/>
        <w:spacing w:before="0" w:after="0"/>
        <w:jc w:val="center"/>
        <w:rPr>
          <w:rFonts w:ascii="Times New Roman" w:hAnsi="Times New Roman"/>
          <w:b/>
          <w:sz w:val="16"/>
        </w:rPr>
      </w:pPr>
      <w:r>
        <w:rPr>
          <w:rFonts w:ascii="Times New Roman" w:hAnsi="Times New Roman"/>
          <w:b/>
          <w:sz w:val="16"/>
        </w:rPr>
        <w:t xml:space="preserve">San Francisco, CA 94104 </w:t>
      </w:r>
    </w:p>
    <w:p>
      <w:pPr>
        <w:pStyle w:val="TextBody"/>
        <w:bidi w:val="0"/>
        <w:spacing w:before="0" w:after="0"/>
        <w:jc w:val="center"/>
        <w:rPr>
          <w:rFonts w:ascii="Times New Roman" w:hAnsi="Times New Roman"/>
          <w:b/>
          <w:sz w:val="16"/>
        </w:rPr>
      </w:pPr>
      <w:r>
        <w:rPr>
          <w:rFonts w:ascii="Times New Roman" w:hAnsi="Times New Roman"/>
          <w:b/>
          <w:sz w:val="16"/>
        </w:rPr>
        <w:t xml:space="preserve">(858) 436-8000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 w:after="0"/>
        <w:jc w:val="left"/>
        <w:rPr>
          <w:rFonts w:ascii="Times New Roman" w:hAnsi="Times New Roman"/>
          <w:sz w:val="16"/>
        </w:rPr>
      </w:pPr>
      <w:r>
        <w:rPr>
          <w:rFonts w:ascii="Times New Roman" w:hAnsi="Times New Roman"/>
          <w:b/>
          <w:sz w:val="16"/>
        </w:rPr>
        <w:t>Approximate date of commencement of proposed sale to the public</w:t>
      </w:r>
      <w:r>
        <w:rPr>
          <w:rFonts w:ascii="Times New Roman" w:hAnsi="Times New Roman"/>
          <w:sz w:val="16"/>
        </w:rPr>
        <w:t xml:space="preserve">: From time to time after this Registration Statement becomes effective. </w:t>
      </w:r>
    </w:p>
    <w:p>
      <w:pPr>
        <w:pStyle w:val="TextBody"/>
        <w:bidi w:val="0"/>
        <w:spacing w:before="8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bidi w:val="0"/>
        <w:spacing w:before="8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8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2"/>
        <w:gridCol w:w="104"/>
        <w:gridCol w:w="4799"/>
        <w:gridCol w:w="132"/>
        <w:gridCol w:w="2669"/>
        <w:gridCol w:w="104"/>
        <w:gridCol w:w="265"/>
      </w:tblGrid>
      <w:tr>
        <w:trPr/>
        <w:tc>
          <w:tcPr>
            <w:tcW w:w="213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99"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2132"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w:t>
            </w:r>
          </w:p>
        </w:tc>
        <w:tc>
          <w:tcPr>
            <w:tcW w:w="132" w:type="dxa"/>
            <w:tcBorders/>
            <w:vAlign w:val="bottom"/>
          </w:tcPr>
          <w:p>
            <w:pPr>
              <w:pStyle w:val="TableContents"/>
              <w:bidi w:val="0"/>
              <w:spacing w:before="0" w:after="283"/>
              <w:jc w:val="left"/>
              <w:rPr/>
            </w:pPr>
            <w:r>
              <w:rPr/>
              <w:t>  </w:t>
            </w:r>
          </w:p>
        </w:tc>
        <w:tc>
          <w:tcPr>
            <w:tcW w:w="2669"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r>
        <w:trPr>
          <w:trHeight w:val="60" w:hRule="atLeast"/>
        </w:trPr>
        <w:tc>
          <w:tcPr>
            <w:tcW w:w="2132" w:type="dxa"/>
            <w:tcBorders/>
            <w:vAlign w:val="center"/>
          </w:tcPr>
          <w:p>
            <w:pPr>
              <w:pStyle w:val="TableContents"/>
              <w:bidi w:val="0"/>
              <w:spacing w:before="0" w:after="283"/>
              <w:jc w:val="left"/>
              <w:rPr>
                <w:sz w:val="4"/>
                <w:szCs w:val="4"/>
              </w:rPr>
            </w:pPr>
            <w:r>
              <w:rPr>
                <w:sz w:val="4"/>
                <w:szCs w:val="4"/>
              </w:rPr>
            </w:r>
          </w:p>
        </w:tc>
        <w:tc>
          <w:tcPr>
            <w:tcW w:w="4903" w:type="dxa"/>
            <w:gridSpan w:val="2"/>
            <w:tcBorders/>
            <w:vAlign w:val="center"/>
          </w:tcPr>
          <w:p>
            <w:pPr>
              <w:pStyle w:val="TableContents"/>
              <w:bidi w:val="0"/>
              <w:spacing w:before="0" w:after="283"/>
              <w:jc w:val="left"/>
              <w:rPr>
                <w:sz w:val="4"/>
                <w:szCs w:val="4"/>
              </w:rPr>
            </w:pPr>
            <w:r>
              <w:rPr>
                <w:sz w:val="4"/>
                <w:szCs w:val="4"/>
              </w:rPr>
            </w:r>
          </w:p>
        </w:tc>
        <w:tc>
          <w:tcPr>
            <w:tcW w:w="2801" w:type="dxa"/>
            <w:gridSpan w:val="2"/>
            <w:tcBorders/>
            <w:vAlign w:val="center"/>
          </w:tcPr>
          <w:p>
            <w:pPr>
              <w:pStyle w:val="TableContents"/>
              <w:bidi w:val="0"/>
              <w:spacing w:before="0" w:after="283"/>
              <w:jc w:val="left"/>
              <w:rPr>
                <w:sz w:val="4"/>
                <w:szCs w:val="4"/>
              </w:rPr>
            </w:pPr>
            <w:r>
              <w:rPr>
                <w:sz w:val="4"/>
                <w:szCs w:val="4"/>
              </w:rPr>
            </w:r>
          </w:p>
        </w:tc>
        <w:tc>
          <w:tcPr>
            <w:tcW w:w="369" w:type="dxa"/>
            <w:gridSpan w:val="2"/>
            <w:tcBorders/>
            <w:vAlign w:val="center"/>
          </w:tcPr>
          <w:p>
            <w:pPr>
              <w:pStyle w:val="TableContents"/>
              <w:bidi w:val="0"/>
              <w:spacing w:before="0" w:after="283"/>
              <w:jc w:val="left"/>
              <w:rPr>
                <w:sz w:val="4"/>
                <w:szCs w:val="4"/>
              </w:rPr>
            </w:pPr>
            <w:r>
              <w:rPr>
                <w:sz w:val="4"/>
                <w:szCs w:val="4"/>
              </w:rPr>
            </w:r>
          </w:p>
        </w:tc>
      </w:tr>
      <w:tr>
        <w:trPr/>
        <w:tc>
          <w:tcPr>
            <w:tcW w:w="2132"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w:t>
            </w:r>
          </w:p>
        </w:tc>
        <w:tc>
          <w:tcPr>
            <w:tcW w:w="132" w:type="dxa"/>
            <w:tcBorders/>
            <w:vAlign w:val="bottom"/>
          </w:tcPr>
          <w:p>
            <w:pPr>
              <w:pStyle w:val="TableContents"/>
              <w:bidi w:val="0"/>
              <w:spacing w:before="0" w:after="283"/>
              <w:jc w:val="left"/>
              <w:rPr/>
            </w:pPr>
            <w:r>
              <w:rPr/>
              <w:t>  </w:t>
            </w:r>
          </w:p>
        </w:tc>
        <w:tc>
          <w:tcPr>
            <w:tcW w:w="2669"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r>
        <w:trPr>
          <w:trHeight w:val="60" w:hRule="atLeast"/>
        </w:trPr>
        <w:tc>
          <w:tcPr>
            <w:tcW w:w="2132" w:type="dxa"/>
            <w:tcBorders/>
            <w:vAlign w:val="center"/>
          </w:tcPr>
          <w:p>
            <w:pPr>
              <w:pStyle w:val="TableContents"/>
              <w:bidi w:val="0"/>
              <w:spacing w:before="0" w:after="283"/>
              <w:jc w:val="left"/>
              <w:rPr>
                <w:sz w:val="4"/>
                <w:szCs w:val="4"/>
              </w:rPr>
            </w:pPr>
            <w:r>
              <w:rPr>
                <w:sz w:val="4"/>
                <w:szCs w:val="4"/>
              </w:rPr>
            </w:r>
          </w:p>
        </w:tc>
        <w:tc>
          <w:tcPr>
            <w:tcW w:w="4903" w:type="dxa"/>
            <w:gridSpan w:val="2"/>
            <w:tcBorders/>
            <w:vAlign w:val="center"/>
          </w:tcPr>
          <w:p>
            <w:pPr>
              <w:pStyle w:val="TableContents"/>
              <w:bidi w:val="0"/>
              <w:spacing w:before="0" w:after="283"/>
              <w:jc w:val="left"/>
              <w:rPr>
                <w:sz w:val="4"/>
                <w:szCs w:val="4"/>
              </w:rPr>
            </w:pPr>
            <w:r>
              <w:rPr>
                <w:sz w:val="4"/>
                <w:szCs w:val="4"/>
              </w:rPr>
            </w:r>
          </w:p>
        </w:tc>
        <w:tc>
          <w:tcPr>
            <w:tcW w:w="2801" w:type="dxa"/>
            <w:gridSpan w:val="2"/>
            <w:tcBorders/>
            <w:vAlign w:val="center"/>
          </w:tcPr>
          <w:p>
            <w:pPr>
              <w:pStyle w:val="TableContents"/>
              <w:bidi w:val="0"/>
              <w:spacing w:before="0" w:after="283"/>
              <w:jc w:val="left"/>
              <w:rPr>
                <w:sz w:val="4"/>
                <w:szCs w:val="4"/>
              </w:rPr>
            </w:pPr>
            <w:r>
              <w:rPr>
                <w:sz w:val="4"/>
                <w:szCs w:val="4"/>
              </w:rPr>
            </w:r>
          </w:p>
        </w:tc>
        <w:tc>
          <w:tcPr>
            <w:tcW w:w="369" w:type="dxa"/>
            <w:gridSpan w:val="2"/>
            <w:tcBorders/>
            <w:vAlign w:val="center"/>
          </w:tcPr>
          <w:p>
            <w:pPr>
              <w:pStyle w:val="TableContents"/>
              <w:bidi w:val="0"/>
              <w:spacing w:before="0" w:after="283"/>
              <w:jc w:val="left"/>
              <w:rPr>
                <w:sz w:val="4"/>
                <w:szCs w:val="4"/>
              </w:rPr>
            </w:pPr>
            <w:r>
              <w:rPr>
                <w:sz w:val="4"/>
                <w:szCs w:val="4"/>
              </w:rPr>
            </w:r>
          </w:p>
        </w:tc>
      </w:tr>
      <w:tr>
        <w:trPr/>
        <w:tc>
          <w:tcPr>
            <w:tcW w:w="2132"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2669"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r>
    </w:tbl>
    <w:p>
      <w:pPr>
        <w:pStyle w:val="TextBody"/>
        <w:bidi w:val="0"/>
        <w:spacing w:before="8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 w:after="0"/>
        <w:jc w:val="left"/>
        <w:rPr>
          <w:rFonts w:ascii="Times New Roman" w:hAnsi="Times New Roman"/>
          <w:b/>
          <w:sz w:val="16"/>
        </w:rPr>
      </w:pPr>
      <w:r>
        <w:rPr>
          <w:rFonts w:ascii="Times New Roman" w:hAnsi="Times New Roman"/>
          <w:b/>
          <w:sz w:val="16"/>
        </w:rPr>
        <w:t xml:space="preserve">The registrant (the “Registrant”) hereby amends this registration statement, or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These securities may not be issued or sold until the registration statement filed with the U.S. Securities and Exchange Commission is effective. This preliminary prospectus is not an offer to sell these securities and does not constitute the solicitation of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PRELIMINARY PROSPECTUS DATED JULY 16, 2026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614930"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14930" cy="676275"/>
                    </a:xfrm>
                    <a:prstGeom prst="rect">
                      <a:avLst/>
                    </a:prstGeom>
                  </pic:spPr>
                </pic:pic>
              </a:graphicData>
            </a:graphic>
          </wp:inline>
        </w:drawing>
      </w:r>
      <w:r>
        <w:rPr/>
        <w:t xml:space="preserve"> </w:t>
      </w:r>
    </w:p>
    <w:p>
      <w:pPr>
        <w:pStyle w:val="TextBody"/>
        <w:bidi w:val="0"/>
        <w:spacing w:before="120" w:after="0"/>
        <w:ind w:left="960" w:right="960" w:hanging="0"/>
        <w:jc w:val="center"/>
        <w:rPr>
          <w:rFonts w:ascii="Times New Roman" w:hAnsi="Times New Roman"/>
          <w:b/>
          <w:sz w:val="44"/>
        </w:rPr>
      </w:pPr>
      <w:r>
        <w:rPr>
          <w:rFonts w:ascii="Times New Roman" w:hAnsi="Times New Roman"/>
          <w:b/>
          <w:sz w:val="44"/>
        </w:rPr>
        <w:t xml:space="preserve">SENTI BIOSCIENCES HOLDINGS, INC. </w:t>
      </w:r>
    </w:p>
    <w:p>
      <w:pPr>
        <w:pStyle w:val="TextBody"/>
        <w:bidi w:val="0"/>
        <w:spacing w:before="120" w:after="0"/>
        <w:ind w:left="960" w:right="960" w:hanging="0"/>
        <w:jc w:val="center"/>
        <w:rPr>
          <w:rFonts w:ascii="Times New Roman" w:hAnsi="Times New Roman"/>
          <w:b/>
          <w:sz w:val="24"/>
        </w:rPr>
      </w:pPr>
      <w:r>
        <w:rPr>
          <w:rFonts w:ascii="Times New Roman" w:hAnsi="Times New Roman"/>
          <w:b/>
          <w:sz w:val="24"/>
        </w:rPr>
        <w:t xml:space="preserve">15,971,890 Shares of Common Stock Offered by the Selling Securityholder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This prospectus relates to the offer and sale from time to time by the selling securityholder (the “Selling Securityholder”) or its permitted transferees, of up to 15,971,890 shares (the “Resale Shares”) of the common stock, par value $0.0001 per share, or Common Stock, of Senti Biosciences Holdings, Inc. (the “Company”) issuable upon the exchange of the Senior Secured Convertible Notes of Senti Holdings, Inc., our subsidiary (the “Notes”). Unless the context otherwise requires, for purposes of this prospectus, the terms “we,” “us,” “our,” etc. refer to the Company.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The Resale Shares, and the Notes from which such Resale Shares are exchangeable, were collectively issued and sold to an accredited investor in a private placement transaction. The Notes were issued on May 20, 2026. We are registering the offer and sale of the Resale Shares held by the Selling Securityholder to satisfy the registration rights granted pursuant to the Purchase Agreement (as defined below) and Registration Rights Agreement (as defined below). While we will not receive any proceeds from the sale of Resale Shares by the Selling Securityholder pursuant to this prospectus, we have received approximately $9.7 million in net proceeds from the issuance of the Notes.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This prospectus provides you with a general description of such securities and the general manner in which the Selling Securityholder or its pledgees, assignees or successors-in-interest may offer or sell the securities. More specific terms of any securities that the Selling Securityholder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Our registration of the Resale Shares covered by this prospectus does not mean that either we or the Selling Securityholder will issue, offer or sell, as applicable, any of the Resale Shares. The Selling Securityholder may offer and sell the Resale Shares covered by this prospectus in a number of different ways and at varying prices. We provide more information about how the Selling Securityholder may sell the Resale Shares in the section entitled “Plan of Distribution.” The Selling Securityholder may be deemed to be an “underwriter”, within the meaning of the Securities Act, of the Resale Shares that it is offering pursuant to this prospectus. The Selling Securityholder will bear all commissions and discounts, if any, attributable to its sales of the Resale Shares hereunder. We will bear all costs, expenses and fees in connection with the registration of the Resale Shares. We will not be paying any underwriting discounts or commissions in this offering.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The Resale Shares represent a substantial percentage of our total outstanding Common Stock as of April 30, 2026. The Resale Shares being offered for resale in this prospectus represent 51.2% of our current total outstanding Common Stock. Such shares of Common Stock will represent a substantial portion of our public float. If the Notes are exchanged for Common Stock, such shares of Common Stock will be significantly dilutive and may cause a decline in the market price of our securities.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You should read this prospectus and any prospectus supplement or amendment carefully before you invest in our securities.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Our Common Stock is listed on the Nasdaq Capital Market, or Nasdaq, under the symbol “SNTI”. On July 15, 2026, the last quoted sale price for the Common Stock as reported on Nasdaq was $0.5833 per share. </w:t>
      </w:r>
    </w:p>
    <w:p>
      <w:pPr>
        <w:pStyle w:val="TextBody"/>
        <w:bidi w:val="0"/>
        <w:spacing w:before="120" w:after="0"/>
        <w:ind w:left="960" w:right="960" w:hanging="0"/>
        <w:jc w:val="left"/>
        <w:rPr>
          <w:rFonts w:ascii="Times New Roman" w:hAnsi="Times New Roman"/>
          <w:b/>
          <w:sz w:val="18"/>
        </w:rPr>
      </w:pPr>
      <w:r>
        <w:rPr>
          <w:rFonts w:ascii="Times New Roman" w:hAnsi="Times New Roman"/>
          <w:b/>
          <w:sz w:val="18"/>
        </w:rPr>
        <w:t xml:space="preserve">We are an “emerging growth company” and a “smaller reporting company” under applicable federal securities laws and will be subject to reduced public company reporting requirements for so long as we remain an emerging growth company or a smaller reporting company. </w:t>
      </w:r>
    </w:p>
    <w:p>
      <w:pPr>
        <w:pStyle w:val="TextBody"/>
        <w:bidi w:val="0"/>
        <w:spacing w:before="120" w:after="0"/>
        <w:ind w:left="960" w:right="960" w:hanging="0"/>
        <w:jc w:val="left"/>
        <w:rPr/>
      </w:pPr>
      <w:r>
        <w:rPr>
          <w:rFonts w:ascii="Times New Roman" w:hAnsi="Times New Roman"/>
          <w:b/>
          <w:sz w:val="22"/>
        </w:rPr>
        <w:t>Investing in our securities involves a high degree of risk. Before buying any securities, you should carefully read the discussion of the risks of investing in our securities in “</w:t>
      </w:r>
      <w:hyperlink w:anchor="tx87527_6">
        <w:r>
          <w:rPr>
            <w:rStyle w:val="InternetLink"/>
            <w:rFonts w:ascii="Times New Roman" w:hAnsi="Times New Roman"/>
            <w:b/>
            <w:sz w:val="22"/>
          </w:rPr>
          <w:t>Risk Factors</w:t>
        </w:r>
      </w:hyperlink>
      <w:r>
        <w:rPr>
          <w:rFonts w:ascii="Times New Roman" w:hAnsi="Times New Roman"/>
          <w:b/>
          <w:sz w:val="22"/>
        </w:rPr>
        <w:t xml:space="preserve">” beginning on page 16 of this prospectus and any other risk factors contained in any applicable prospectus supplement and in the documents incorporated by reference herein and therein. </w:t>
      </w:r>
    </w:p>
    <w:p>
      <w:pPr>
        <w:pStyle w:val="TextBody"/>
        <w:bidi w:val="0"/>
        <w:spacing w:before="120" w:after="0"/>
        <w:ind w:left="960" w:right="960" w:hanging="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 securities to be issued under this prospectus or determined if this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center"/>
        <w:rPr>
          <w:rFonts w:ascii="Times New Roman" w:hAnsi="Times New Roman"/>
          <w:b/>
          <w:sz w:val="18"/>
        </w:rPr>
      </w:pPr>
      <w:r>
        <w:rPr>
          <w:rFonts w:ascii="Times New Roman" w:hAnsi="Times New Roman"/>
          <w:b/>
          <w:sz w:val="18"/>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u w:val="single"/>
              </w:rPr>
            </w:pPr>
            <w:r>
              <w:rPr>
                <w:b/>
                <w:u w:val="single"/>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87527_1">
              <w:r>
                <w:rPr>
                  <w:rStyle w:val="InternetLink"/>
                  <w:rFonts w:ascii="Times New Roman" w:hAnsi="Times New Roman"/>
                  <w:sz w:val="20"/>
                </w:rPr>
                <w:t>SELECTED DEFINITIONS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87527_2">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87527_3">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87527_4">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87527_5">
              <w:r>
                <w:rPr>
                  <w:rStyle w:val="InternetLink"/>
                  <w:rFonts w:ascii="Times New Roman" w:hAnsi="Times New Roman"/>
                  <w:sz w:val="20"/>
                </w:rPr>
                <w:t>THE OFFERING</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87527_6">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87527_7">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87527_7a">
              <w:r>
                <w:rPr>
                  <w:rStyle w:val="InternetLink"/>
                  <w:rFonts w:ascii="Times New Roman" w:hAnsi="Times New Roman"/>
                  <w:sz w:val="20"/>
                </w:rPr>
                <w:t xml:space="preserve">DILUTION </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87527_8">
              <w:r>
                <w:rPr>
                  <w:rStyle w:val="InternetLink"/>
                  <w:rFonts w:ascii="Times New Roman" w:hAnsi="Times New Roman"/>
                  <w:sz w:val="20"/>
                </w:rPr>
                <w:t>SELLING SECURITYHOLDER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87527_9">
              <w:r>
                <w:rPr>
                  <w:rStyle w:val="InternetLink"/>
                  <w:rFonts w:ascii="Times New Roman" w:hAnsi="Times New Roman"/>
                  <w:sz w:val="20"/>
                </w:rPr>
                <w:t>DESCRIPTION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87527_10">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87527_11">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87527_12">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87527_13">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87527_14">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87527_1"/>
      <w:bookmarkEnd w:id="3"/>
      <w:r>
        <w:rPr>
          <w:rFonts w:ascii="Times New Roman" w:hAnsi="Times New Roman"/>
          <w:b/>
          <w:sz w:val="20"/>
        </w:rPr>
        <w:t xml:space="preserve">SELECTED DEFINITIONS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unless otherwise noted or the context otherwise requires, references to the following capitalized terms have the meanings set forth below: </w:t>
      </w:r>
    </w:p>
    <w:p>
      <w:pPr>
        <w:pStyle w:val="TextBody"/>
        <w:bidi w:val="0"/>
        <w:spacing w:before="120" w:after="0"/>
        <w:jc w:val="left"/>
        <w:rPr/>
      </w:pPr>
      <w:r>
        <w:rPr/>
        <w:t>“</w:t>
      </w:r>
      <w:r>
        <w:rPr>
          <w:rFonts w:ascii="Times New Roman" w:hAnsi="Times New Roman"/>
          <w:sz w:val="20"/>
          <w:u w:val="single"/>
        </w:rPr>
        <w:t>Business Combination Agreement</w:t>
      </w:r>
      <w:r>
        <w:rPr>
          <w:rFonts w:ascii="Times New Roman" w:hAnsi="Times New Roman"/>
          <w:sz w:val="20"/>
        </w:rPr>
        <w:t xml:space="preserve">” means the Business Combination Agreement, dated as of December 19, 2021, as amended or modified from time to time, including as amended by Amendment No. 1 to Business Combination Agreement, dated as of February 12, 2022, and Amendment No. 2, dated as of May 19, 2022, in each case, by and among Dynamics Special Purpose Corp., Explore Merger Sub, Inc. and our predecessor, Senti Biosciences, Inc. </w:t>
      </w:r>
    </w:p>
    <w:p>
      <w:pPr>
        <w:pStyle w:val="TextBody"/>
        <w:bidi w:val="0"/>
        <w:spacing w:before="240" w:after="0"/>
        <w:jc w:val="left"/>
        <w:rPr/>
      </w:pPr>
      <w:r>
        <w:rPr/>
        <w:t>“</w:t>
      </w:r>
      <w:r>
        <w:rPr>
          <w:rFonts w:ascii="Times New Roman" w:hAnsi="Times New Roman"/>
          <w:sz w:val="20"/>
          <w:u w:val="single"/>
        </w:rPr>
        <w:t>Board</w:t>
      </w:r>
      <w:r>
        <w:rPr>
          <w:rFonts w:ascii="Times New Roman" w:hAnsi="Times New Roman"/>
          <w:sz w:val="20"/>
        </w:rPr>
        <w:t xml:space="preserve">” means our board of directors. </w:t>
      </w:r>
    </w:p>
    <w:p>
      <w:pPr>
        <w:pStyle w:val="TextBody"/>
        <w:bidi w:val="0"/>
        <w:spacing w:before="240" w:after="0"/>
        <w:jc w:val="left"/>
        <w:rPr/>
      </w:pPr>
      <w:r>
        <w:rPr/>
        <w:t>“</w:t>
      </w:r>
      <w:r>
        <w:rPr>
          <w:rFonts w:ascii="Times New Roman" w:hAnsi="Times New Roman"/>
          <w:sz w:val="20"/>
          <w:u w:val="single"/>
        </w:rPr>
        <w:t>Bylaws</w:t>
      </w:r>
      <w:r>
        <w:rPr>
          <w:rFonts w:ascii="Times New Roman" w:hAnsi="Times New Roman"/>
          <w:sz w:val="20"/>
        </w:rPr>
        <w:t xml:space="preserve">” means the Amended and Restated Bylaws of the Company. </w:t>
      </w:r>
    </w:p>
    <w:p>
      <w:pPr>
        <w:pStyle w:val="TextBody"/>
        <w:bidi w:val="0"/>
        <w:spacing w:before="240" w:after="0"/>
        <w:jc w:val="left"/>
        <w:rPr/>
      </w:pPr>
      <w:r>
        <w:rPr/>
        <w:t>“</w:t>
      </w:r>
      <w:r>
        <w:rPr>
          <w:rFonts w:ascii="Times New Roman" w:hAnsi="Times New Roman"/>
          <w:sz w:val="20"/>
          <w:u w:val="single"/>
        </w:rPr>
        <w:t>Certificate of Incorporation</w:t>
      </w:r>
      <w:r>
        <w:rPr>
          <w:rFonts w:ascii="Times New Roman" w:hAnsi="Times New Roman"/>
          <w:sz w:val="20"/>
        </w:rPr>
        <w:t xml:space="preserve">” means the Amended and Restated Certificate of Incorporation of the Company, as amended and / or restated from time to time. </w:t>
      </w:r>
    </w:p>
    <w:p>
      <w:pPr>
        <w:pStyle w:val="TextBody"/>
        <w:bidi w:val="0"/>
        <w:spacing w:before="240" w:after="0"/>
        <w:jc w:val="left"/>
        <w:rPr/>
      </w:pPr>
      <w:r>
        <w:rPr/>
        <w:t>“</w:t>
      </w:r>
      <w:r>
        <w:rPr>
          <w:rFonts w:ascii="Times New Roman" w:hAnsi="Times New Roman"/>
          <w:sz w:val="20"/>
          <w:u w:val="single"/>
        </w:rPr>
        <w:t>DGCL</w:t>
      </w:r>
      <w:r>
        <w:rPr>
          <w:rFonts w:ascii="Times New Roman" w:hAnsi="Times New Roman"/>
          <w:sz w:val="20"/>
        </w:rPr>
        <w:t xml:space="preserve">” means the Delaware General Corporation Law, as may be amended from time to time.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sz w:val="20"/>
          <w:u w:val="single"/>
        </w:rPr>
        <w:t>JOBS Act</w:t>
      </w:r>
      <w:r>
        <w:rPr>
          <w:rFonts w:ascii="Times New Roman" w:hAnsi="Times New Roman"/>
          <w:sz w:val="20"/>
        </w:rPr>
        <w:t xml:space="preserve">” means the Jumpstart Our Business Startups Act of 2012.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87527_2"/>
      <w:bookmarkEnd w:id="4"/>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some of the information incorporated by reference includes forward-looking statements within the meaning of Section 27A of the Securities Act and Section 21E of the Exchange Act regarding, among other things, our plans, strategies, and prospects, both business and financial. These statements are based on the beliefs and assumptions of our management. Although we believe that our respective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We make such forward-looking statements pursuant to the safe harbor provisions of the Private Securities Litigation Reform Act of 1995 and other federal securities laws. Generally, statements that are not historical facts,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may be preceded by, followed by or include the words “believes”, “estimates”, “expects”, “projects”, “forecasts”, “may”, “might”, “will”, “should”, “seeks”, “plans”, “scheduled”, “possible”, “anticipates”, “intends”, “aims”, “works”, “focuses”, “aspires”, “strives” or “sets out” or similar expressions. Forward-looking statements are not guarantees of performance. You should not put undue reliance on these statements which speak only as of the date hereof. Forward-looking statements contained in this prospectus include, for example,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with respect to the closing of the Merger Agreement (as defined herein) and the transactions contemplated thereby, including the closing of the $6.0 million in aggregate principal amount of Additional Notes (as defined herein) that Parent (as defined herein) may be required to purchase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cost, timing, progress and results of our clinical trials, preclinical studies or research and development activities with respect to our current and potential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therapeutic potential of our product candidates, and the disease indications for which we intend to develop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and advance our gene circuit platform technologies and to identify product candidates using our gene circuit platform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advance our current and potential future product candidates into, and successfully initiate, conduct, enroll and complete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and commercialize product candidates that we identify;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current and potential future product candidates, and any related restrictions, limitations and/or warnings in the label of an approved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manufacture our product candidates for clinical development and, if approved, for commercialization, and the timing and costs of such manufacture;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source clinical and, if approved, commercial materials and supplies used to manufacture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of third parties in connection with the development of our product candidates, including third parties conducting our clinical trials as well as third-party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realize the benefits expected from the Framework Agreement and subsequent amendment, dated August 7, 2023 and December 10, 2024, respectively, by and among us, GeneFab, LLC and Valere Bio, Inc. and the transactions contemplated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projected financial information, anticipated growth rate, and market opportunities;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our estimates and projections of financial information, including expenses, capital requirements, cash utilization, need for additional financing and market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the listing of our common stock on Nasdaq, and the potential liquidity and trading of such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file and obtain clearance for any additional investigational new drug application, (“IND”), for any additional product candidates we may identify, and to successfully complete our ongoing Phase 1 clinical trial for SENTI-202 and additional clinical trials for any potential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grow and effectively manage the growth of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raise financing to fund our operations, if and when needed;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intellectual property protection for our technologies and any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commercialize our current and any potential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our current and any potential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United States and international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of strategic collaboration agreements and our ability, and the ability of our collaborators, to successfully develop technologies and product candidates under the respective collaborations;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liability from lawsuits and penalties related to our technologies, product candidates and current and future relationships with third parties, including relationships under strategic and financing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success in retaining or recruiting, or adapting to changes in, our officers, key employees,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scientific and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contract with third-party suppliers and manufacturers and their ability to perform adequately under those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compete effectively with existing competitors and new market entrants;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financial performance and capital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implement and maintain effective internal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supply chain disruptions;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global health crises on our business, including our ongoing and potential future clinical trials and preclinical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impacts on our business from unfavorable global economic conditions, including significant political, trade or regulatory developments, inflationary pressures, market volatility, acts of war and civil and political unrest;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implement remediation plans to address the material weaknesses that are described in our most recent Annual Report on Form 10-K;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period during which we qualify as a “smaller reporting company” as defined by Rule 12b-2 of the Securities Exchange Act of 1934 and “emerging growth company” under the JOBS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detailed under the section entitled “Risk Factors.”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These and other factors that could cause actual results to differ from those implied by the forward-looking statements in this prospectus described under the heading “</w:t>
      </w:r>
      <w:r>
        <w:rPr>
          <w:rFonts w:ascii="Times New Roman" w:hAnsi="Times New Roman"/>
          <w:i/>
          <w:sz w:val="20"/>
        </w:rPr>
        <w:t>Risk Factors</w:t>
      </w:r>
      <w:r>
        <w:rPr>
          <w:rFonts w:ascii="Times New Roman" w:hAnsi="Times New Roman"/>
          <w:sz w:val="20"/>
        </w:rPr>
        <w:t>” and elsewhere in this prospectus. The risks described under the heading “</w:t>
      </w:r>
      <w:r>
        <w:rPr>
          <w:rFonts w:ascii="Times New Roman" w:hAnsi="Times New Roman"/>
          <w:i/>
          <w:sz w:val="20"/>
        </w:rPr>
        <w:t>Risk Factors</w:t>
      </w:r>
      <w:r>
        <w:rPr>
          <w:rFonts w:ascii="Times New Roman" w:hAnsi="Times New Roman"/>
          <w:sz w:val="20"/>
        </w:rPr>
        <w:t xml:space="preserve">”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All forward-looking statements attributable to us or to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87527_3"/>
      <w:bookmarkEnd w:id="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on Form S-3 that we filed with the SEC using the “shelf” registration process. Under this shelf registration process, the Selling Securityholder may, from time to time, sell the Resale Shares in one or more offerings through any means described in the section entitled “</w:t>
      </w:r>
      <w:r>
        <w:rPr>
          <w:rFonts w:ascii="Times New Roman" w:hAnsi="Times New Roman"/>
          <w:i/>
          <w:sz w:val="20"/>
        </w:rPr>
        <w:t>Plan of Distribution</w:t>
      </w:r>
      <w:r>
        <w:rPr>
          <w:rFonts w:ascii="Times New Roman" w:hAnsi="Times New Roman"/>
          <w:sz w:val="20"/>
        </w:rPr>
        <w:t xml:space="preserve">.” While we will not receive any proceeds from the sale of Resale Shares by the Selling Securityholder pursuant to this prospectus, we have received approximately $9.7 million in net proceeds from the issuance of the Notes. </w:t>
      </w:r>
    </w:p>
    <w:p>
      <w:pPr>
        <w:pStyle w:val="TextBody"/>
        <w:bidi w:val="0"/>
        <w:spacing w:before="240" w:after="0"/>
        <w:jc w:val="left"/>
        <w:rPr>
          <w:rFonts w:ascii="Times New Roman" w:hAnsi="Times New Roman"/>
          <w:sz w:val="20"/>
        </w:rPr>
      </w:pPr>
      <w:r>
        <w:rPr>
          <w:rFonts w:ascii="Times New Roman" w:hAnsi="Times New Roman"/>
          <w:sz w:val="20"/>
        </w:rPr>
        <w:t>A prospectus supplement may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or incorporated by reference into, this prospectus, and any applicable prospectus supplement. You should read both this prospectus and any applicable prospectus supplement or post-effective amendment to the registration statement together with the additional information to which we refer you in the sections of this prospectus entitled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Securityholder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 take responsibility for, and can provide no assurance as to the reliability of, any other information that others may give you.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and any information we have incorporated by reference is accurate only as of the date of the document incorporated by reference, regardless of the time of delivery of this prospectus or any applicable prospectus supplement, or any sale of a security.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For investors outside the United States: neither we nor the Selling Securityholder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 </w:t>
      </w:r>
    </w:p>
    <w:p>
      <w:pPr>
        <w:pStyle w:val="TextBody"/>
        <w:bidi w:val="0"/>
        <w:spacing w:before="240" w:after="0"/>
        <w:jc w:val="left"/>
        <w:rPr>
          <w:rFonts w:ascii="Times New Roman" w:hAnsi="Times New Roman"/>
          <w:sz w:val="20"/>
        </w:rPr>
      </w:pPr>
      <w:r>
        <w:rPr>
          <w:rFonts w:ascii="Times New Roman" w:hAnsi="Times New Roman"/>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contains references to trademarks, trade names and service marks belonging to other entities. Solely for convenience, trademarks, trade names and service marks referred to in this prospectus may appear without the ® or TM symbols, but such references are not intended to indicate, in any way,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tx87527_4"/>
      <w:bookmarkEnd w:id="6"/>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prospectus summary highlights certain information about us and selected information contained elsewhere in or incorporated by reference into this prospectus. This prospectus summary is not complete and does not contain all of the information that you should consider before making an investment decision. For a more complete understanding of us, you should read and consider carefully the more detailed information included or incorporated by reference in this prospectus and any applicable prospectus supplement or amendment, including the factors described under the heading “Risk Factors,” beginning on page 11 of this prospectus, as well as the information incorporated herein by reference, before making an investment decision. In this prospectus, unless the context requires otherwise, all references to “we,” “our,” “us,” “Senti,” the “Registrant,” and the “Company” refer to Senti Biosciences Holdings, Inc. and its subsidiaries.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developing next-generation cell and gene therapies engineered with our gene circuit platform technologies for patients living with incurable diseases. Our mission is to create a new generation of smarter medicines that outsmart complex diseases using novel and unprecedented approaches. To accomplish this mission, we have built a synthetic biology platform that we believe may enable us to program next-generation cell and gene therapies with gene circuits. These gene circuits, which we created from novel and proprietary combinations of DNA sequences, are designed to reprogram cells with biological logic to sense inputs, compute decisions and respond to their respective cellular environments. Using gene circuits, our product candidates are designed to precisely kill cancer cells, spare healthy cells, increase specificity to target cells and control the expression of drugs even after administration.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applying our gene circuit technologies to develop a pipeline of medicines that use chimeric antigen receptor (“CAR”) white blood cells with the goal of addressing major challenges and providing potentially lifesaving treatments for people living with cancer. Our lead product candidate utilizes off-the-shelf healthy adult donor derived natural killer (“NK”) cells to create CAR-NK cells outfitted with gene circuit technologies in several oncology indications with high unmet need.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May 2026 Private Placement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April 27, 2026, we entered into a securities purchase agreement (the “Purchase Agreement”) with the Selling Securityholder, pursuant to which our subsidiary, Senti Holdings, Inc., agreed to issue and sell up to $40.0 million in aggregate principal amount of our Senior Secured Convertible Notes in up to two tranches. The Selling Securityholder is an entity affiliated with Celadon Partners SPV 24 (“Celadon”). Celadon, together with its affiliates, is currently our largest stockholder.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May 20, 2026, we issued and sold to the Selling Securityholder the first tranche of Notes, in aggregate principal amount of $10.0 million (the “Initial Notes”). Concurrently with the closing of the sale of the Initial Notes, we entered into a registration rights agreement with the Selling Securityholder (the “Registration Rights Agreement”), a Guarantee (together with all our direct and indirect subsidiaries other than Senti Holdings, Inc.) in favor of the Selling Securityholder, and Voting Agreements with certain directors, all of our executive officers and the Selling Securityholder, pursuant to which these parties agreed to vote all shares of our common stock they hold in favor of (i) the Merger Agreement (as defined below) and (ii) the issuance of shares of our Common Stock underlying the Notes without giving effect to the Exchange Cap (as defined below). Pursuant to the Registration Rights Agreement, we agreed to file a registration statement with the SEC registering the resale of the Common Stock underlying the Notes sold to the Selling Securityholder under the Purchase Agreement. None of the securities issued pursuant to the Purchase Agreement were initially registered under the Securities Act or any state securities laws, rather, we offered the securities in reliance on exemption from the registration requirements of the Securities Act by virtue of Section 4(a)(2) thereof and Rule 506 of Regulation D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Securities Act. The registration statement of which this prospectus is a part relates to the offer and resale of the Resale Shares issuable upon the exchange of the Initial Notes.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Purchase Agreement, the second tranche of Notes may consist of up to $30.0 million in aggregate principal amount that are to be issued after the first tranche (the “Additional Notes”), subject to (i) the Selling Securityholder’s discretionary election and (ii) the satisfaction of certain specified closing conditions. In addition, under the Purchase Agreement, we would not be obligated to issue any Additional Notes unless the parties executed, within 30 days of the closing of the Initial Notes, definitive documents for a potential transaction pursuant to which, if consummated, an entity affiliated with the Selling Securityholder would merge with and into Senti Holdings, Inc. and Senti Holdings, Inc. would issue a contingent value right to our stockholders, which may pay out up to an aggregate of $60.0 million in cash subject to the achievement of certain regulatory and sales milestones with respect to our product candidate, SENTI-202. The Merger Agreement, which constitutes such definitive document, was executed on July 14, 2026, more than 30 days after the closing of the Initial Notes on May 20, 2026, in connection with the execution of the Merger Agreement with Celadon Partners SPV 35 Limited (“Parent”), an entity affiliated with Celadon.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Notwithstanding the foregoing, pursuant to the Merger Agreement, no later than 21 days from the date of the Merger Agreement (unless Parent and we mutually agree in writing to a later date), Parent or an affiliate of Parent is required to fund and purchase Additional Notes in accordance with the terms of the Securities Purchase Agreement, in an amount equal to $6.0 million, minus the aggregate amount of net proceeds actually received by us from sales of our Common Stock pursuant to our existing at-the-market offering facility with Leerink Partners LLC (the “ATM Facility”).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Notes are exchangeable for shares of our Common Stock at an initial exchange price of $0.6261 per share and are also convertible for shares of common stock of Senti Holdings, Inc., our direct, wholly owned subsidiary, at an initial conversion price of $0.6261 per share, in each case subject to customary adjustments upon the occurrence of events specified in the Notes. In accordance with the rules of the Nasdaq Capital Market, we are not obligated to issue any shares of our Common Stock upon exchange beyond 19.99% of our Common Stock outstanding as of the date of the Purchase Agreement (the “Exchange Cap”) prior to the approval of our stockholders at a meeting to be held not later than August 31, 2026 to approve our issuance of shares of our Common Stock underlying the Notes without giving effect to the Exchange Cap (the “Issuance Approval”).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Based on the aggregate principal amount of the Initial Notes issued on May 20, 2026, and assuming the Issuance Approval and the immediate exchange of such Initial Notes by the Selling Securityholder for our Common Stock, the Selling Securityholder would, based on the Schedule 13D/A filed by Celadon Partners, LLC, Celadon Partners SPV 24, the Selling Securityholder and Parent (whom we collectively refer to as Celadon) on May 4, 2026, beneficially own 54.6% of our outstanding Common Stock. If the Selling Securityholder purchases the full $6.0 million of Additional Notes contemplated by the Merger Agreement (i.e., assuming no reduction in amount due to net sales from the ATM Facility) and assuming the Issuance Approval and the immediate exchange of the Initial Notes and such Additional Notes by the Selling Securityholder for our Common Stock, the Selling Securityholder would beneficially own 62.3% of our outstanding Common Stock, based on the Schedule 13D/A filed by Celadon with the SEC on May 4, 2026. In addition, although we are not obligated to issue or sell any Additional Notes other than the up to $6.0 million in aggregate principal amount of Additional Notes that Parent may be required to purchase pursuant to the Merger Agreement, we may choose to sell up to a total of $30.0 million in aggregate principal amount of Additional Notes pursuant to the Purchase Agreement. Assuming the voluntary sale by us of the full $30.0 million in aggregate principal amount of Additional Notes, that the Issuance Approval is obtained, and that the Selling Securityholder immediately exchanges all of its Notes for shares of our Common Stock, the Selling Securityholder would beneficially own 77.5% of our Common Stock. Further, pursuant to the terms of the Notes, if the Merger (as defined below) closes, we have the right to force the exchange of all outstanding Notes for shares of our Common Stock. For more information on the Merger Agreement, see the section below titled “—</w:t>
      </w:r>
      <w:r>
        <w:rPr>
          <w:rFonts w:ascii="Times New Roman" w:hAnsi="Times New Roman"/>
          <w:i/>
          <w:sz w:val="20"/>
          <w:bdr w:val="single" w:sz="8" w:space="1" w:color="000000"/>
        </w:rPr>
        <w:t>Merger Agreement</w:t>
      </w:r>
      <w:r>
        <w:rPr>
          <w:rFonts w:ascii="Times New Roman" w:hAnsi="Times New Roman"/>
          <w:sz w:val="20"/>
          <w:bdr w:val="single" w:sz="8" w:space="1" w:color="000000"/>
        </w:rPr>
        <w:t>”. See also “</w:t>
      </w:r>
      <w:r>
        <w:rPr>
          <w:rFonts w:ascii="Times New Roman" w:hAnsi="Times New Roman"/>
          <w:i/>
          <w:sz w:val="20"/>
          <w:bdr w:val="single" w:sz="8" w:space="1" w:color="000000"/>
        </w:rPr>
        <w:t>Risk Factors—The sale of the</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i/>
          <w:sz w:val="20"/>
          <w:bdr w:val="single" w:sz="8" w:space="1" w:color="000000"/>
        </w:rPr>
        <w:t>securities registered for resale hereunder and future sales of substantial amounts of our securities in</w:t>
      </w:r>
      <w:r>
        <w:rPr>
          <w:rFonts w:ascii="Times New Roman" w:hAnsi="Times New Roman"/>
          <w:sz w:val="20"/>
          <w:bdr w:val="single" w:sz="8" w:space="1" w:color="000000"/>
        </w:rPr>
        <w:t xml:space="preserve"> </w:t>
      </w:r>
      <w:r>
        <w:rPr>
          <w:rFonts w:ascii="Times New Roman" w:hAnsi="Times New Roman"/>
          <w:i/>
          <w:sz w:val="20"/>
          <w:bdr w:val="single" w:sz="8" w:space="1" w:color="000000"/>
        </w:rPr>
        <w:t>the</w:t>
      </w:r>
      <w:r>
        <w:rPr>
          <w:rFonts w:ascii="Times New Roman" w:hAnsi="Times New Roman"/>
          <w:sz w:val="20"/>
          <w:bdr w:val="single" w:sz="8" w:space="1" w:color="000000"/>
        </w:rPr>
        <w:t xml:space="preserve"> </w:t>
      </w:r>
      <w:r>
        <w:rPr>
          <w:rFonts w:ascii="Times New Roman" w:hAnsi="Times New Roman"/>
          <w:i/>
          <w:sz w:val="20"/>
          <w:bdr w:val="single" w:sz="8" w:space="1" w:color="000000"/>
        </w:rPr>
        <w:t>public</w:t>
      </w:r>
      <w:r>
        <w:rPr>
          <w:rFonts w:ascii="Times New Roman" w:hAnsi="Times New Roman"/>
          <w:sz w:val="20"/>
          <w:bdr w:val="single" w:sz="8" w:space="1" w:color="000000"/>
        </w:rPr>
        <w:t xml:space="preserve"> </w:t>
      </w:r>
      <w:r>
        <w:rPr>
          <w:rFonts w:ascii="Times New Roman" w:hAnsi="Times New Roman"/>
          <w:i/>
          <w:sz w:val="20"/>
          <w:bdr w:val="single" w:sz="8" w:space="1" w:color="000000"/>
        </w:rPr>
        <w:t xml:space="preserve">market (including the shares of Common Stock issuable upon exchange of the Notes), or the perception that such sales may occur, in particular by a significant and/or controlling stockholder, may cause the market price of our securities to decline significantly.”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Notes will not bear any interest unless an event of default has occurred. The Notes will have a maturity date of November 23, 2026, which is the date that is the first business day immediately following the date that is six months after the closing date of the Initial Notes (the “Maturity Date”). The Maturity Date may be extended at the option of the Selling Securityholder (i) if there is an event of default occurring on the Maturity Date or any event that, with the passage of time and the failure to cure would result in an event of default and (ii) through the date that is ten business days after the consummation of a change of control that is publicly announced or of which the Selling Securityholder received notice pursuant to the Notes. On the Maturity Date, if the Notes have not previously been converted or exchanged, Senti Holdings, Inc. is required to pay the Selling Securityholder an amount in cash equal to 200% of all outstanding principal and accrued and unpaid interest.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Merger Agreement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14, 2026, we entered into an agreement with Parent, under which Parent would acquire substantially all of our existing business and pipeline through a merger transaction. Following the transaction, we are expected to remain a public company with a significantly streamlined operating structure, retaining certain intellectual property, collaborations and early-stage programs focused on our Regulator Dial technology platform while the remaining business will merge into the private company. Our stockholders, as well as certain holders of equity awards and warrants, will, upon closing of the transaction, have the right to receive certain contingent value rights that may provide future cash payments if specified development, regulatory and commercial milestones for SENTI-202 are achieved. The transaction is subject to stockholder approval and other customary closing conditions. See below for more detailed information about the transactions.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Agreement and Plan of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14, 2026, we entered into an Agreement and Plan of Merger (the “Merger Agreement”) with Parent, Senti Merger Sub, Inc., a Delaware corporation and wholly owned subsidiary of Parent (“Merger Sub”), Senti Holdings, Inc., a Delaware corporation and our wholly owned subsidiary (“Midco”) and Senti Biosciences, Inc., a Delaware corporation and wholly owned subsidiary of Midco (“Opco”). Subject to the terms and conditions of the Merger Agreement, Merger Sub will be merged with and into Midco (the “Merger”), with Midco continuing as the surviving corporation and a wholly owned subsidiary of Parent.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closing of the Merger, Opco will license or assign to us all intellectual property and contracts needed for us to (i) continue our work to develop a novel gene therapy approach for Rett syndrome utilizing our Regulator Dial technology and (ii) to advance a novel platform of Regulator Dial-enabled armored tumor-infiltrating lymphocyte (“TIL”) therapies designed to address key limitations associated with current TIL approaches. After the closing of the Merger, we will retain a modest amount of cash to fund early work on these initial programs and will continue to incur the portion of our historical expenses related to operating as a public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Merger Agreement, at the effective time of the Merger (the “Effective Time”), each outstanding share of Midco common stock (other than shares owned by Midco or a subsidiary of Midco, which shares will be cancelled) will automatically be cancelled and converted into the right to receive the Milestone Payment Amount (as defined and described below) (the “Merger Consideration”). The right to receive the Merger Consideration shall be distributed by Midco to our stockholders and holders of RSUs and, upon exercise, holders of stock options and warrants (including certain entities and individuals affiliated with Celadon who hold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securities) in the form of contractual contingent value rights (as described below, “CVRs”). Pursuant to the Merger Agreement, our Board of Directors or the Special Committee thereof shall approve, and Midco shall effect, the issuance and distribution of one CVR with respect to each share of our common stock that is issued and outstanding as of the CVR record date, which shall be a date no less than five days and no more than ten days following the date that the Merger closes.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or prior to the Effective Time, Midco will execute and deliver the Contingent Value Rights Agreement in the form attached as Exhibit A to the Merger Agreement (the “CVR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immediately prior to the Effective Time, each stock option to purchase shares of our common stock (each, a “stock option”), whether vested or unvested, that is then outstanding will become immediately vested and exercisable in full. Prior to the Effective Time, our Board of Directors (or the committee administering the applicable equity incentive plan) shall take all actions necessary to provide that the post-termination exercise period applicable to each stock option that remains outstanding immediately prior to the Effective Time shall be extended so that such stock option will remain exercisable until the original expiration date of such stock option, notwithstanding any earlier termination of the holder’s employment or service with us or any of our subsidiaries; provided that each such stock option shall remain subject to earlier termination in accordance with the terms of the applicable equity incentive plan. Each stock option that is outstanding and unexercised as of immediately prior to the CVR record date shall entitle such holder to receive, upon exercise of such stock option pursuant to the terms thereof, a number of CVRs equal to the number of shares of our common stock that would have been issuable upon exercise in full of such stock option immediately prior to the CVR record date, reduced by an amount equal to the amount of any applicable withholding taxes, subject to and in accordance with the terms and conditions of such stock option and the CVR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Immediately prior to the Effective Time, each restricted stock unit award in respect of shares of our common stock (each, a “RSU”), whether vested or unvested, that is outstanding immediately prior to the Effective Time shall become fully vested, automatically and without any action on the part of the holder thereof, and shall thereafter remain subject to settlement in accordance with the terms and conditions of the applicable equity incentive plan and the award agreement evidencing such RSU. Each RSU that is outstanding and unsettled as of immediately prior to the CVR record date shall entitle such holder to receive, upon settlement of such RSU pursuant to the terms thereof, a number of CVRs equal to the number of shares of our common stock subject to such RSU immediately prior to the CVR record date, reduced by an amount equal to the amount of any applicable withholding taxes, subject to and in accordance with the terms and conditions of such RSU and the CVR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each warrant to purchase shares of our common stock (each, a “warrant”) that is outstanding and unexercised as of immediately prior to the CVR record date shall entitle such holder to receive, upon exercise of such warrant pursuant to the terms thereof, a number of CVRs equal to the number of shares of our common stock that would have been issuable upon exercise in full of such warrant immediately prior to the CVR record date, reduced by an amount equal to the amount of any applicable withholding taxes, subject to and in accordance with the terms and conditions of such warrant and the CVR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consummation of the Merger is subject to certain closing conditions, including (i) the adoption of the Merger Agreement by (a) the holders of a majority of the outstanding shares of our common stock entitled to vote on the Merger Agreement at our stockholders meeting (the “Stockholder Approval”) and (b) holders of a majority of the votes cast by holders of shares of our common stock, other than shares beneficially owned, directly or indirectly, by Parent, Merger Sub or any of their respective affiliates, or with respect to which any of the foregoing has, directly or indirectly, the right to direct the voting thereof, that are present in person or represented by proxy and entitled to vote on the adoption of the Merger Agreement at our stockholders meeting, (ii) to the extent required, the receipt of specified regulatory approvals and (iii) the absence of any legal restraint prohibiting the consummation of the Merger. Moreover, each party’s obligation to consummate the Merger is subject to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other conditions, including the accuracy of the other party’s representations and warranties in the Merger Agreement (subject to certain materiality qualifiers), the other party’s compliance in all material respects with its obligations under the Merger Agreement and the delivery of specified certificates and transaction documents. Consummation of the Merger is not subject to a financing condition.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contains customary representations and warranties of each of us, Midco, Opco, Parent and Merger Sub relating to their respective businesses and certain matters related to the Merger Agreement. The Merger Agreement contains certain covenants, including covenants providing (i) for each of the parties to use reasonable best efforts to cause the transactions under the Merger Agreement to be consummated, (ii) for us to carry on our business in the ordinary course consistent with past practice during the interim period between the execution of the Merger Agreement and completion of the Merger, including using commercially reasonable efforts to preserve our business operations, and (iii) for us not to engage in certain kinds of transactions during that period without Parent’s consent (which must not be unreasonably withheld, delayed or conditioned).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obligates us to abide by customary “no-shop” restrictions on our ability to solicit alternative takeover proposals from third parties and to provide non-public information to and enter into discussions or negotiations with third parties regarding alternative takeover proposals. Notwithstanding this obligation, prior to the receipt of the Stockholder Approval, if we receive an unsolicited alternative takeover proposal that our Board of Directors determines in good faith (after consultation with our legal counsel and financial advisor) constitutes, or would reasonably be expected to lead to, a Superior Company Proposal (as defined in the Merger Agreement and summarized below) and that the failure to take such action would be inconsistent with our fiduciary duties under applicable law, we may under certain circumstances furnish information to and engage in discussions or negotiations with the third party making such alternative takeover proposal. A “Superior Company Proposal” generally is any bona fide written takeover proposal to acquire 50% or more of the outstanding shares of our common stock or of the assets of ours and our subsidiaries, which proposal did not result from a breach of the “no-shop” restrictions and, in the good faith determination of our Board of Directors (after consultation with our legal counsel and financial advisor), is reasonably likely to be consummated in accordance with its terms and, if consummated, would result in a transaction more favorable from a financial point of view to our stockholders than the transactions under the Merger Agreement, taking into account changes to the Merger Agreement proposed by Parent in response thereto. Prior to us entering into a written definitive agreement for, or effecting a change in recommendation of our Board of Directors in connection with, a Superior Company Proposal, we must provide Parent with advance written notice of our intention to do so and Parent will generally have at least four business days after receipt of such notice to negotiate with us to make such adjustments in the terms and conditions of the Merger Agreement as would permit our Board of Directors not to enter into such a definitive agreement or change its recommendation.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Merger Agreement, no later than 21 days from the date of the Merger Agreement (unless Parent and we mutually agree in writing to a later date), Parent or an affiliate of Parent is required to fund and purchase Additional Notes in accordance with the terms of the Purchase Agreement, in an amount equal to $6.0 million, minus the aggregate amount of net proceeds actually received by us from sales of our Common Stock pursuant to our existing ATM Facility. Parent has the right, in its sole discretion, to first direct us to sell shares of our common stock pursuant to the ATM Facility, and we are required to use our commercially reasonable efforts, subject to applicable law, to effect such sales in accordance with the terms of the ATM Facility; provided that the amount, timing and pricing of any such sales shall be determined by Parent in its sole discretion following consultation with us. Net proceeds actually received by us from sales under the ATM Facility pursuant to the Merger Agreement will reduce, dollar-for-dollar, the amount required to be funded by Parent through the purchase of Additional Notes pursuant to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Merger Agreement, from and after the closing of the Merger, we and Parent have agreed to use commercially reasonable efforts to maintain the listing of our common stock on The Nasdaq Capital Market. In our case, this obligation is contingent on our receipt of sufficient capital funding for such efforts.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contains certain customary termination rights for us and Parent, including a right to terminate the Merger Agreement if the Merger is not completed by December 31, 2026 (the “Outside Date”). In addition, we may terminate the Merger Agreement if Parent or an affiliate of Parent fails to fund and purchase the Additional Notes in accordance with the Merger Agreement. The Merger Agreement further provides that, upon termination of the Merger Agreement under certain specified circumstances, including, among others, our termination of the Merger Agreement to enter into a written definitive agreement for a Superior Company Proposal or following a change in recommendation of our Board of Directors, we will be obligated to pay Parent a termination fee of $2.5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foregoing description of the Merger Agreement does not purport to be complete and is qualified in its entirety by reference to the full text of such agreement, which is attached hereto as Exhibit 10.6 and is incorporated herein by reference.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has been included to provide investors with information regarding its terms. It is not intended to provide any other factual information about the Company, Midco, Opco, Parent or Merger Sub or any of their respective subsidiaries or affiliates. The representations and warranties of the parties contained in the Merger Agreement have been made solely for the benefit of the parties thereto. In addition, such representations and warranties (i) have been made only for purposes of the Merger Agreement, (ii) may be subject to limits or exceptions agreed upon by the contracting parties, (iii) are subject to materiality qualifications contained in the Merger Agreement which may differ from what may be viewed as material by investors, (iv) were made only as of the date of the Merger Agreement or other specific dates and (v) have been included in the Merger Agreement for the purpose of allocating risk between the contracting parties rather than establishing matters as facts. Investors should not rely on the representations, warranties and covenants or any descriptions thereof as characterizations of the actual state of facts or condition of the Company, Midco, Opco, Parent or Merger Sub or any of their respective subsidiaries or affiliates. Additionally, the representations, warranties, covenants, conditions and other terms of the Merger Agreement may be subject to subsequent waiver or modification. Moreover, information concerning the subject matter of the representations, warranties and covenants may change after the date of the Merger Agreement, which subsequent information may or may not be fully reflected in our public disclosures.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Merger Agreement, we expect a proxy statement on Schedule 14A to be filed with the SEC no later than 30 business days following the date of the Merger Agreement. Subject to satisfaction of the conditions to the consummation of the Merger, we expect the closing of the transactions contemplated by the Merger Agreement to occur in the third quarter of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previously disclosed in our Current Reports on Form 8-K filed by the Company on May 1, 2026 and May 26, 2026, we entered into a Voting Agreement with all of our executive officers and certain of our directors, as well as Celadon, our largest stockholder, in each case, whereby the parties agreed to vote in favor of the adoption and approval of the Merger and other transactions contemplated by the Merger Agreement.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Contingent Value Rights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or immediately prior to the Effective Time, Midco and a rights agent will enter into the CVR Agreement, governing the terms of the CVRs to be received by our equityholders (including certain entities affiliated with Celadon). The CVRs are not transferable except under certain limited circumstances, will not be evidenced by a certificate or other instrument and will not be registered or listed for trading. The CVRs will not have any voting or dividend rights and will not represent any equity or ownership interest in Parent, Merger Sub, Midco, Opco or any of their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Each CVR represents the right to receive a pro rata portion of the following contingent cash payments (the “Milestone Payment Amounts”):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million if a Biologics License Application (“BLA”) is filed by or on behalf of Midco or any of its affiliates or licensees with, and is accepted by, the U.S. Food and Drug Administration (the “FDA”), or if the 60-day review period passes without rejection by the FDA, for SENTI-202, on or prior to the seventh anniversary of the Closing Date (the “Milestone Expiration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$20.0 million if FDA approval of the BLA for SENTI-202 is received by or on behalf of Parent or any of its affiliates or licensees on or prior to the Milestone Expiration Date;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$30.0 million if the cumulative worldwide net sales (as defined in the CVR Agreement) of SENTI-202 exceeds $200.0 million during the period commencing on the first commercial sale of SENTI-202 and ending on the Milestone Expiration Date.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There can be no assurance that the milestones will be achieved prior to the Milestone Expiration Date or that any resulting Milestone Payment Amounts will be paid.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foregoing description of the CVR Agreement is not complete and is qualified in its entirety by reference to the Form of CVR Agreement, which is attached hereto as Exhibit 10.7 and is incorporated herein by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Going Concern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incurred recurring losses and negative cash flows from operations and have an accumulated deficit that raises substantial doubt about our ability to continue as a going concern. Similarly, our independent registered public accounting firm included an explanatory paragraph in its report on our consolidated financial statements as of and for the year ended December 31, 2025 with respect to this uncertainty.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Senti Biosciences, Inc. (“Senti Biosciences”), our predecessor company, was incorporated under the laws of the State of Delaware on June 9, 2016. On April 24, 2026, Senti Biosciences consummated a holding company reorganization by executing a tax-free merger, whereby it merged with and into Senti Biosciences Merger Sub, Inc., a newly formed Delaware corporation that is a subsidiary of a newly formed Delaware corporation, Senti Holdings, Inc. Senti Holdings, Inc. is our subsidiary. Following the reorganization, we became the successor issuer to Senti Biosciences. Our principal executive offices are located at 2 Corporate Drive, First Floor, South San Francisco, California 94080, and our telephone number is (650) 239-2030. Our Common Stock is listed on the Nasdaq Capital Market under the symbol “SNTI”.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file annual, quarterly and current reports, proxy statements and other information with the SEC. The SEC maintains an Internet website at www.sec.gov that contains reports, proxy and information statements and other information about issuers, like us, that file electronically with the SEC. We also maintain a website at https://sentibio.com. We make available, free of charge, on our investor relations website at https://investors.sentibio.com, our Annual Reports on Form 10-K, Quarterly Reports on Form 10-Q, Current Reports on Form 8-K and amendments to these reports as soon as reasonably practicable after electronically filing or furnishing those reports to the SEC. Information contained on our website is not a part of or incorporated by reference into this prospectus and the inclusion of our website and investor relations website addresses in this prospectus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the JOBS Act. As such, we may take advantage of reduced disclosure and other requirements otherwise generally applicable to public companies, including: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requirement to have our registered independent public accounting firm attest to management’s assessment of our internal control over financial reporting;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compliance with the requirement of the Public Company Accounting Oversight Board, or PCAOB, regarding the communication of critical audit matters in the auditor’s report on the financial statements;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about our executive compensation arrangements; and exemption from the requirement to hold non-binding advisory votes on executive compensation or golden parachute arrangements.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remain an emerging growth company until the earliest to occur of: (1) the last day of the fiscal year in which we have at least $1.235 billion in annual revenue; (2) the date we qualify as a “large accelerated filer,” with at least $700.0 million of equity securities held by non-affiliates and our net sales for the year exceed $100 million; (3) the date on which we have issued more than $1.0 billion in non-convertible debt securities during the prior three-year period; and (4) December 31, 2026, the last day of the fiscal year ending after the fifth anniversary of our becoming a public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result of this status, we have taken advantage of reduced reporting requirements in this prospectus and may elect to take advantage of other reduced reporting requirements in our future filings with the SEC. In particular, in this prospectus and our other SEC filings incorporated by reference herein, we have not included all of the executive compensation-related information that would be required if we were not an emerging growth company.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under Rule 405 of the Securities Act. We may continue to be a smaller reporting company if either (i) the market value of our stock held by non-affiliates was less than $250 million on the last business day of our most recently completed second fiscal quarter or (ii) our annual revenue was less than $100 million during the most recently completed fiscal year and the market value of our stock held by non-affiliates was less than $700 million on the last business day of our most recently completed second fiscal quarter. For so long as we remain a smaller reporting company, we are permitted and plan to rely on exemptions from certain disclosure and other requirements that are applicable to other public companies that are not smaller reporting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tx87527_5"/>
      <w:bookmarkEnd w:id="7"/>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Offered by the Selling Securityholder</w:t>
            </w:r>
            <w:r>
              <w:rPr>
                <w:rFonts w:ascii="Times New Roman" w:hAnsi="Times New Roman"/>
                <w:sz w:val="20"/>
              </w:rPr>
              <w:t xml:space="preserve"> </w:t>
            </w:r>
          </w:p>
        </w:tc>
        <w:tc>
          <w:tcPr>
            <w:tcW w:w="6328" w:type="dxa"/>
            <w:tcBorders/>
          </w:tcPr>
          <w:p>
            <w:pPr>
              <w:pStyle w:val="TableContents"/>
              <w:bidi w:val="0"/>
              <w:spacing w:before="0" w:after="283"/>
              <w:jc w:val="left"/>
              <w:rPr/>
            </w:pPr>
            <w:r>
              <w:rPr/>
              <w:t>15,971,890 shares of Common Stock, issuable upon exchange of the Notes. See “</w:t>
            </w:r>
            <w:r>
              <w:rPr>
                <w:i/>
              </w:rPr>
              <w:t>Selling Securityholder.</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We will not receive any proceeds from the sale of the Resale Shares to be offered by the Selling Securityholder.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Trading Symbol</w:t>
            </w:r>
            <w:r>
              <w:rPr>
                <w:rFonts w:ascii="Times New Roman" w:hAnsi="Times New Roman"/>
                <w:sz w:val="20"/>
              </w:rPr>
              <w:t xml:space="preserve"> </w:t>
            </w:r>
          </w:p>
        </w:tc>
        <w:tc>
          <w:tcPr>
            <w:tcW w:w="6327" w:type="dxa"/>
            <w:tcBorders/>
          </w:tcPr>
          <w:p>
            <w:pPr>
              <w:pStyle w:val="TableContents"/>
              <w:bidi w:val="0"/>
              <w:spacing w:before="0" w:after="283"/>
              <w:jc w:val="left"/>
              <w:rPr/>
            </w:pPr>
            <w:r>
              <w:rPr/>
              <w:t>“</w:t>
            </w:r>
            <w:r>
              <w:rPr/>
              <w:t xml:space="preserve">SNTI”. Neither we nor our subsidiary Senti Holdings, Inc. intends to list the Notes on the Nasdaq Capital Market or any other national securities exchange or any recognized trading system. Without an active market, the liquidity of the Notes will be limited.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Any investment in the securities offered hereby is speculative and involves a high degree of risk. You should carefully consider the information set forth under “Risk Factors” and elsewhere in this prospectus, as well as the risk factors described or referred to in any documents incorporated by reference in this prospectus, and in any applicable prospectus supplement or amendment.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87527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the Common Stock involves a high degree of risk. You should carefully consider the risk factors incorporated by reference to our most recent Annual Report on Form 10-K, any subsequent Quarterly Reports on Form 10-Q or Current Reports on Form 8-K, including the risks related to the proposed Merger and the transactions contemplated by the Merger Agreement disclosed in Exhibit 99.2 to the Current Report on Form 8-K filed on July 15, 2026, and all other information contained or incorporated by reference into this prospectus, as updated by our subsequent filings under the Exchange Act, and the risk factors and other information contained in any applicable prospectus supplement before making an investment decision. The risks described in these documents are not the only ones we face. Additional risks and uncertainties not presently known to us or that we currently deem immaterial also may impair our business operations.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materially adversely affected. This could cause the trading price of our securities to decline, resulting in a loss of all or part of your investment. Please also carefully read the section titled “Cautionary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by the Selling Securityholder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sale of the securities registered for resale hereunder and future sales of substantial amounts of our securities in the public market (including the shares of Common Stock issuable upon exchange of the Notes), or the perception that such sales may occur, in particular by a significant and/or controlling stockholder, may cause the market price of our securities to decline significantly.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for resale 15,971,890 shares of Common Stock. The shares of Common Stock offered for resale by the Selling Securityholder in this prospectus represent approximately 51.3% of our total Common Stock outstanding as of March 31, 2026. Together with its affiliates, the Selling Securityholder is currently our largest stockholder, and assuming the Issuance Approval and the immediate exchange of the Initial Notes for shares of Common Stock, the Selling Securityholder would, based on the Celadon 13D/A filed on May 4, 2026, beneficially own 54.6% of our common stock and become our controlling stockholder. Pursuant to the Purchase Agreement, although we are not obligated to issue or sell any Additional Notes other than the $6.0 million in aggregate principal amount of Additional Notes that Parent may be required to purchase pursuant to the Merger Agreement, we may choose to sell up to a total of $30.0 million in aggregate principal amount of Additional Notes pursuant to the Purchase Agreement. Assuming that we sell $6.0 million or $30.0 million in aggregate principal amount of Additional Notes, the Issuance Approval is obtained and Celadon immediately exchanges all of its Notes for shares of our common stock, Celadon would beneficially own 62.3% or 77.5% of our common stock. In addition, pursuant to the terms of the Notes, if the Merger closes, we have the right to force the exchange of all outstanding Notes for shares of our common stock. Any such issuance could result in substantial dilution to our existing shareholders and could cause our stock price to decline.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underlying the Initial Notes offered for resale by the Selling Securityholder under this prospectus are not subject to volume limitations pursuant to Rule 144 under the Securities Act. We cannot predict if and when the Selling Securityholder may sell such shares in the public markets. Furthermore, in the future, we may issue additional shares of Common Stock or other equity or debt securities convertible into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Notes and the rules of the Nasdaq Capital Market, we may not issue greater than 6,225,836 shares of Common Stock upon exchange of the Notes until we obtain the Issuance Approval in accordance with the rules of the Nasdaq Capital Market. We have agreed to call a meeting of our stockholders as promptly as practicable, but in any event not later than August 31, 2026, to seek such stockholder approval. At that meeting, Celadon, which is our largest stockholder, will be able to vote its pre-transaction shares, and has agreed to vote such shares, in favor of the Issuance Approval. The Issuance Approval requires the affirmative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vote of the holders of a majority in voting power of the votes cast on such matter, and abstentions and broker non-votes, if any, will have no effect on the outcome of the vote on this proposal. Therefore, all 15,971,890 shares of our Common Stock, plus any shares of our common stock underlying Additional Notes issued in the future, may become issuable in exchange for the Notes in the future, notwithstanding the limitations provided by the Notes and the rules the Nasdaq Capital Market that currently apply to the Notes. </w:t>
      </w:r>
    </w:p>
    <w:p>
      <w:pPr>
        <w:pStyle w:val="TextBody"/>
        <w:bidi w:val="0"/>
        <w:spacing w:before="240" w:after="0"/>
        <w:jc w:val="left"/>
        <w:rPr>
          <w:rFonts w:ascii="Times New Roman" w:hAnsi="Times New Roman"/>
          <w:sz w:val="20"/>
        </w:rPr>
      </w:pPr>
      <w:r>
        <w:rPr>
          <w:rFonts w:ascii="Times New Roman" w:hAnsi="Times New Roman"/>
          <w:sz w:val="20"/>
        </w:rPr>
        <w:t xml:space="preserve">The resale of the 15,971,890 shares of Common Stock registered by the registration statement of which this prospectus forms a part or any shares underlying Additional Notes in the public market, or the perception that the Selling Securityholder intends to sell such shares, could reduce the market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87527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sale of the Resale Shares covered by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87527_7a"/>
      <w:bookmarkEnd w:id="10"/>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the net tangible book value of our Common Stock was approximately $(10.0) million, or $(0.32) per share of Common Stock based on 31,144,754 shares of our Common Stock issued and outstanding. Net tangible book value per share as of a particular date represents our total tangible assets less total liabilities, divided by the number of shares of outstanding Common Stock.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issuance of 15,971,890 shares of our Common Stock upon exchange of the Notes at an assumed price of $0.63 per share, the pro forma net tangible book value as of March 31, 2026 would have been approximately $(0.6) million or $(0.01) per share. This represents an immediate increase in the net tangible book value of $0.31 per share to existing stockholders and an immediate dilution of $0.64 per share to the investors purchasing shares of our Common Stock in this offering at the assumed price per share.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the dilution in net tangible book value per share as a result of this offering: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916"/>
        <w:gridCol w:w="164"/>
        <w:gridCol w:w="151"/>
        <w:gridCol w:w="515"/>
        <w:gridCol w:w="161"/>
        <w:gridCol w:w="164"/>
        <w:gridCol w:w="151"/>
        <w:gridCol w:w="468"/>
        <w:gridCol w:w="65"/>
      </w:tblGrid>
      <w:tr>
        <w:trPr/>
        <w:tc>
          <w:tcPr>
            <w:tcW w:w="5916"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price per share</w:t>
            </w:r>
          </w:p>
        </w:tc>
        <w:tc>
          <w:tcPr>
            <w:tcW w:w="1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468" w:type="dxa"/>
            <w:tcBorders/>
            <w:shd w:fill="CCEEFF" w:val="clear"/>
            <w:vAlign w:val="bottom"/>
          </w:tcPr>
          <w:p>
            <w:pPr>
              <w:pStyle w:val="TableContents"/>
              <w:bidi w:val="0"/>
              <w:spacing w:before="0" w:after="283"/>
              <w:jc w:val="right"/>
              <w:rPr/>
            </w:pPr>
            <w:r>
              <w:rPr/>
              <w:t>0.63</w:t>
            </w:r>
          </w:p>
        </w:tc>
        <w:tc>
          <w:tcPr>
            <w:tcW w:w="65" w:type="dxa"/>
            <w:tcBorders/>
            <w:shd w:fill="CCEEFF" w:val="clear"/>
            <w:vAlign w:val="bottom"/>
          </w:tcPr>
          <w:p>
            <w:pPr>
              <w:pStyle w:val="TableContents"/>
              <w:bidi w:val="0"/>
              <w:spacing w:before="0" w:after="283"/>
              <w:jc w:val="left"/>
              <w:rPr/>
            </w:pPr>
            <w:r>
              <w:rPr/>
              <w:t> </w:t>
            </w:r>
          </w:p>
        </w:tc>
      </w:tr>
      <w:tr>
        <w:trPr/>
        <w:tc>
          <w:tcPr>
            <w:tcW w:w="5916"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March 31, 2026</w:t>
            </w:r>
          </w:p>
        </w:tc>
        <w:tc>
          <w:tcPr>
            <w:tcW w:w="1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515" w:type="dxa"/>
            <w:tcBorders/>
            <w:vAlign w:val="bottom"/>
          </w:tcPr>
          <w:p>
            <w:pPr>
              <w:pStyle w:val="TableContents"/>
              <w:bidi w:val="0"/>
              <w:spacing w:before="0" w:after="283"/>
              <w:jc w:val="right"/>
              <w:rPr/>
            </w:pPr>
            <w:r>
              <w:rPr/>
              <w:t>(0.32</w:t>
            </w:r>
          </w:p>
        </w:tc>
        <w:tc>
          <w:tcPr>
            <w:tcW w:w="161"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after giving effect to the issuance of shares of Common Stock issuable upon exchange of the Notes</w:t>
            </w:r>
          </w:p>
        </w:tc>
        <w:tc>
          <w:tcPr>
            <w:tcW w:w="1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515" w:type="dxa"/>
            <w:tcBorders/>
            <w:shd w:fill="CCEEFF" w:val="clear"/>
            <w:vAlign w:val="bottom"/>
          </w:tcPr>
          <w:p>
            <w:pPr>
              <w:pStyle w:val="TableContents"/>
              <w:bidi w:val="0"/>
              <w:spacing w:before="0" w:after="283"/>
              <w:jc w:val="right"/>
              <w:rPr/>
            </w:pPr>
            <w:r>
              <w:rPr/>
              <w:t>0.31</w:t>
            </w:r>
          </w:p>
        </w:tc>
        <w:tc>
          <w:tcPr>
            <w:tcW w:w="161"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46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916"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tangible book value per share as of March 31, 2026</w:t>
            </w:r>
          </w:p>
        </w:tc>
        <w:tc>
          <w:tcPr>
            <w:tcW w:w="1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468" w:type="dxa"/>
            <w:tcBorders/>
            <w:vAlign w:val="bottom"/>
          </w:tcPr>
          <w:p>
            <w:pPr>
              <w:pStyle w:val="TableContents"/>
              <w:bidi w:val="0"/>
              <w:spacing w:before="0" w:after="283"/>
              <w:jc w:val="right"/>
              <w:rPr/>
            </w:pPr>
            <w:r>
              <w:rPr/>
              <w:t>0.01</w:t>
            </w:r>
          </w:p>
        </w:tc>
        <w:tc>
          <w:tcPr>
            <w:tcW w:w="65" w:type="dxa"/>
            <w:tcBorders/>
            <w:vAlign w:val="bottom"/>
          </w:tcPr>
          <w:p>
            <w:pPr>
              <w:pStyle w:val="TableContents"/>
              <w:bidi w:val="0"/>
              <w:spacing w:before="0" w:after="283"/>
              <w:jc w:val="left"/>
              <w:rPr/>
            </w:pPr>
            <w:r>
              <w:rPr/>
              <w:t> </w:t>
            </w:r>
          </w:p>
        </w:tc>
      </w:tr>
      <w:tr>
        <w:trPr/>
        <w:tc>
          <w:tcPr>
            <w:tcW w:w="5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in this offering</w:t>
            </w:r>
          </w:p>
        </w:tc>
        <w:tc>
          <w:tcPr>
            <w:tcW w:w="1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51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468" w:type="dxa"/>
            <w:tcBorders/>
            <w:shd w:fill="CCEEFF" w:val="clear"/>
            <w:vAlign w:val="bottom"/>
          </w:tcPr>
          <w:p>
            <w:pPr>
              <w:pStyle w:val="TableContents"/>
              <w:bidi w:val="0"/>
              <w:spacing w:before="0" w:after="283"/>
              <w:jc w:val="right"/>
              <w:rPr/>
            </w:pPr>
            <w:r>
              <w:rPr/>
              <w:t>0.64</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Assuming the Selling Securityholder purchases all the Additional Notes having an aggregate principal amount of $30.0 million, and exchanges the Notes for 47,916,669 shares of our Common Stock at an assumed price of $0.63 per share, the pro forma net tangible book value as of March 31, 2026 would have been approximately $28.3 million or $0.30 per share. This represents an immediate increase in the net tangible book value of $0.31 per share to existing stockholders and an immediate dilution of $0.33 per share to the investors purchasing shares of our Common Stock in this offering at the assumed price per share.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calculating pro forma, as adjusted net tangible book value, the number of shares of our Common Stock outstanding prior to and after this offering is based on 31,144,754 shares of Common Stock outstanding as of March 31, 2026, assumes the issuance of 15,971,890 shares of our Common Stock in connection with this offering, and excludes, in each case, as of such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4,848,839 shares of Common Stock issuable upon the exercise of stock options outstanding at a weighted-average exercise price of $12.45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31,745,500 shares of Common Stock issuable upon the exercise of warrants to purchase shares of Common Stock outstanding at a weighted-average exercise price of $2.30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714,571 shares of Common Stock issuable upon the vesting and settlement of outstanding restricted stock units under our equity incentive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2,131,608 shares of Common Stock available for issuance under our 2022 Equity Incentive Plan (the “2022 Plan”), plus any future increases in the number of shares of Common Stock reserved for issuance under our 2022 Plan pursuant to the evergreen provision of our 2022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436,474 shares of Common Stock available for issuance under our 2022 Employee Stock Purchase Plan (the “ESPP”), plus any future increases in the number of shares of Common Stock reserved for issuance under our ESPP pursuant to the evergreen provision of our ESPP;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2,132,767 shares of Common Stock available for issuance under our 2022 Inducement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any of the outstanding options are exercised, warrants to purchase shares of Common Stock are exercised or restricted stock units vest, there would be further dilution to investors participating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87527_8"/>
      <w:bookmarkEnd w:id="11"/>
      <w:r>
        <w:rPr>
          <w:rFonts w:ascii="Times New Roman" w:hAnsi="Times New Roman"/>
          <w:b/>
          <w:sz w:val="20"/>
        </w:rPr>
        <w:t xml:space="preserve">SELLING SECURITYHOLDER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reoffer and resale of up to 15,971,890 Resale Shares by the Selling Securityholder from time to time upon the exchange of the Initial Notes. We are registering the Resale Shares in order to permit the Selling Securityholder to offer the Resale Shares for resale from time to time. For additional information regarding the Resale Shares being offered by the Selling Securityholder pursuant to this prospectus, see “Prospectus Summary—May 2026 Private Placement” above. As a closing condition to the issuance of the Initial Notes under the Purchase Agreement, we entered into the Registration Rights Agreement pursuant to which we agreed to file a registration statement with the SEC registering the resale of the Common Stock underlying the Initial Notes sold to the Selling Securityholder. </w:t>
      </w:r>
    </w:p>
    <w:p>
      <w:pPr>
        <w:pStyle w:val="TextBody"/>
        <w:bidi w:val="0"/>
        <w:spacing w:before="240" w:after="0"/>
        <w:jc w:val="left"/>
        <w:rPr>
          <w:rFonts w:ascii="Times New Roman" w:hAnsi="Times New Roman"/>
          <w:sz w:val="20"/>
        </w:rPr>
      </w:pPr>
      <w:r>
        <w:rPr>
          <w:rFonts w:ascii="Times New Roman" w:hAnsi="Times New Roman"/>
          <w:sz w:val="20"/>
        </w:rPr>
        <w:t>When we refer to the “</w:t>
      </w:r>
      <w:r>
        <w:rPr>
          <w:rFonts w:ascii="Times New Roman" w:hAnsi="Times New Roman"/>
          <w:i/>
          <w:sz w:val="20"/>
        </w:rPr>
        <w:t>Selling Securityholder”</w:t>
      </w:r>
      <w:r>
        <w:rPr>
          <w:rFonts w:ascii="Times New Roman" w:hAnsi="Times New Roman"/>
          <w:sz w:val="20"/>
        </w:rPr>
        <w:t xml:space="preserve"> in this prospectus, we mean the person listed in the table below, and the pledgees, donees, transferees, assignees, successors and others who later come to hold any of the Selling Securityholder’s interest in the Resale Shares after the date of this prospectus such that registration rights shall apply to those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is prepared based on information provided to us by the Selling Securityholder. It sets forth the name and address of the Selling Securityholder, the aggregate number of Resale Shares beneficially owned as of the date of this prospectus, and the aggregate number of Resale Shares that the Selling Securityholder may offer pursuant to this prospectus, and the number of Resale Shares beneficially owned by the Selling Securityholder after the sale of the securities offered hereby. We have based percentage ownership after this offering on 31,144,754 shares of common stock outstanding as of March 31, 2026. Unless otherwise described below, to our knowledge, the Selling Securityholder has not held any position or office or had any other material relationship with us or our affiliates during the three years prior to the date of this prospectus. In addition, except as otherwise described below, based on the information provided to us by the Selling Securityholder, the Selling Securityholder is not a broker-dealer or affiliate of a broker-dealer. </w:t>
      </w:r>
    </w:p>
    <w:p>
      <w:pPr>
        <w:pStyle w:val="TextBody"/>
        <w:bidi w:val="0"/>
        <w:spacing w:before="240" w:after="0"/>
        <w:jc w:val="left"/>
        <w:rPr>
          <w:rFonts w:ascii="Times New Roman" w:hAnsi="Times New Roman"/>
          <w:sz w:val="20"/>
        </w:rPr>
      </w:pPr>
      <w:r>
        <w:rPr>
          <w:rFonts w:ascii="Times New Roman" w:hAnsi="Times New Roman"/>
          <w:sz w:val="20"/>
        </w:rPr>
        <w:t xml:space="preserve">We cannot advise you as to whether the Selling Securityholder will in fact sell any or all of such Resale Shares. In addition, the Selling Securityholder may sell, transfer or otherwise dispose of, at any time and from time to time, the Resale Shares in transactions exempt from the registration requirements of the Securities Act after the date of this prospectus. For purposes of this table, we have assumed that the Selling Securityholder will have sold all of the securities covered by this prospectus upon the completion of the offering. Any changed or new information given to us by the Selling Securityholder, including regarding the identity of, and the securities held by, each Selling Securityholder, will be set forth in a prospectus supplement or amendments to the registration statement of which this prospectus is a part, if and when necessary. </w:t>
      </w:r>
    </w:p>
    <w:p>
      <w:pPr>
        <w:pStyle w:val="TextBody"/>
        <w:bidi w:val="0"/>
        <w:spacing w:before="240" w:after="0"/>
        <w:jc w:val="left"/>
        <w:rPr>
          <w:rFonts w:ascii="Times New Roman" w:hAnsi="Times New Roman"/>
          <w:sz w:val="20"/>
        </w:rPr>
      </w:pPr>
      <w:r>
        <w:rPr>
          <w:rFonts w:ascii="Times New Roman" w:hAnsi="Times New Roman"/>
          <w:sz w:val="20"/>
        </w:rPr>
        <w:t>Please see the section entitled “</w:t>
      </w:r>
      <w:r>
        <w:rPr>
          <w:rFonts w:ascii="Times New Roman" w:hAnsi="Times New Roman"/>
          <w:i/>
          <w:sz w:val="20"/>
        </w:rPr>
        <w:t>Plan of Distribution</w:t>
      </w:r>
      <w:r>
        <w:rPr>
          <w:rFonts w:ascii="Times New Roman" w:hAnsi="Times New Roman"/>
          <w:sz w:val="20"/>
        </w:rPr>
        <w:t xml:space="preserve">” for further information regarding the Selling Securityholder’s method of distributing these securities. </w:t>
      </w:r>
    </w:p>
    <w:p>
      <w:pPr>
        <w:pStyle w:val="TextBody"/>
        <w:bidi w:val="0"/>
        <w:spacing w:before="0" w:after="0"/>
        <w:jc w:val="left"/>
        <w:rPr/>
      </w:pPr>
      <w:r>
        <w:rPr/>
        <w:t> </w:t>
      </w:r>
    </w:p>
    <w:tbl>
      <w:tblPr>
        <w:tblW w:w="9690" w:type="dxa"/>
        <w:jc w:val="center"/>
        <w:tblInd w:w="0" w:type="dxa"/>
        <w:tblLayout w:type="fixed"/>
        <w:tblCellMar>
          <w:top w:w="0" w:type="dxa"/>
          <w:left w:w="0" w:type="dxa"/>
          <w:bottom w:w="0" w:type="dxa"/>
          <w:right w:w="0" w:type="dxa"/>
        </w:tblCellMar>
      </w:tblPr>
      <w:tblGrid>
        <w:gridCol w:w="1160"/>
        <w:gridCol w:w="120"/>
        <w:gridCol w:w="152"/>
        <w:gridCol w:w="2793"/>
        <w:gridCol w:w="60"/>
        <w:gridCol w:w="120"/>
        <w:gridCol w:w="60"/>
        <w:gridCol w:w="1100"/>
        <w:gridCol w:w="60"/>
        <w:gridCol w:w="120"/>
        <w:gridCol w:w="92"/>
        <w:gridCol w:w="1503"/>
        <w:gridCol w:w="60"/>
        <w:gridCol w:w="120"/>
        <w:gridCol w:w="227"/>
        <w:gridCol w:w="1668"/>
        <w:gridCol w:w="275"/>
      </w:tblGrid>
      <w:tr>
        <w:trPr/>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Name of Selling</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Securityholder</w:t>
            </w:r>
          </w:p>
        </w:tc>
        <w:tc>
          <w:tcPr>
            <w:tcW w:w="120" w:type="dxa"/>
            <w:tcBorders/>
            <w:vAlign w:val="bottom"/>
          </w:tcPr>
          <w:p>
            <w:pPr>
              <w:pStyle w:val="TableContents"/>
              <w:bidi w:val="0"/>
              <w:spacing w:before="0" w:after="283"/>
              <w:jc w:val="left"/>
              <w:rPr/>
            </w:pPr>
            <w:r>
              <w:rPr/>
              <w:t>  </w:t>
            </w:r>
          </w:p>
        </w:tc>
        <w:tc>
          <w:tcPr>
            <w:tcW w:w="2945" w:type="dxa"/>
            <w:gridSpan w:val="2"/>
            <w:tcBorders>
              <w:bottom w:val="single" w:sz="8" w:space="0" w:color="000000"/>
            </w:tcBorders>
            <w:tcMar>
              <w:bottom w:w="28" w:type="dxa"/>
            </w:tcMar>
            <w:vAlign w:val="bottom"/>
          </w:tcPr>
          <w:p>
            <w:pPr>
              <w:pStyle w:val="TableContents"/>
              <w:bidi w:val="0"/>
              <w:spacing w:before="0" w:after="283"/>
              <w:jc w:val="center"/>
              <w:rPr/>
            </w:pPr>
            <w:r>
              <w:rPr>
                <w:b/>
              </w:rPr>
              <w:t>Common Stock Beneficially</w:t>
            </w:r>
            <w:r>
              <w:rPr/>
              <w:br/>
            </w:r>
            <w:r>
              <w:rPr>
                <w:b/>
              </w:rPr>
              <w:t>Owned Prior to this Offering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Common</w:t>
            </w:r>
            <w:r>
              <w:rPr/>
              <w:br/>
            </w:r>
            <w:r>
              <w:rPr>
                <w:b/>
              </w:rPr>
              <w:t>Stock</w:t>
            </w:r>
            <w:r>
              <w:rPr/>
              <w:br/>
            </w:r>
            <w:r>
              <w:rPr>
                <w:b/>
              </w:rPr>
              <w:t>Being</w:t>
            </w:r>
            <w:r>
              <w:rPr/>
              <w:br/>
            </w:r>
            <w:r>
              <w:rPr>
                <w:b/>
              </w:rPr>
              <w:t>Offered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pPr>
            <w:r>
              <w:rPr>
                <w:b/>
              </w:rPr>
              <w:t>Common Stock</w:t>
            </w:r>
            <w:r>
              <w:rPr/>
              <w:br/>
            </w:r>
            <w:r>
              <w:rPr>
                <w:b/>
              </w:rPr>
              <w:t>Owned After</w:t>
            </w:r>
            <w:r>
              <w:rPr/>
              <w:br/>
            </w:r>
            <w:r>
              <w:rPr>
                <w:b/>
              </w:rPr>
              <w:t>this Offering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 of</w:t>
            </w:r>
            <w:r>
              <w:rPr/>
              <w:br/>
            </w:r>
            <w:r>
              <w:rPr>
                <w:b/>
              </w:rPr>
              <w:t>Shares of</w:t>
            </w:r>
            <w:r>
              <w:rPr/>
              <w:br/>
            </w:r>
            <w:r>
              <w:rPr>
                <w:b/>
              </w:rPr>
              <w:t>Common Stock</w:t>
            </w:r>
            <w:r>
              <w:rPr/>
              <w:br/>
            </w:r>
            <w:r>
              <w:rPr>
                <w:b/>
              </w:rPr>
              <w:t>beneficially owned</w:t>
            </w:r>
            <w:r>
              <w:rPr/>
              <w:br/>
            </w:r>
            <w:r>
              <w:rPr>
                <w:b/>
              </w:rPr>
              <w:t>after the Offering</w:t>
            </w:r>
          </w:p>
        </w:tc>
        <w:tc>
          <w:tcPr>
            <w:tcW w:w="27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CPIF II-7 Limited (1)</w:t>
            </w:r>
          </w:p>
        </w:tc>
        <w:tc>
          <w:tcPr>
            <w:tcW w:w="12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793" w:type="dxa"/>
            <w:tcBorders/>
            <w:shd w:fill="CCEEFF" w:val="clear"/>
            <w:vAlign w:val="bottom"/>
          </w:tcPr>
          <w:p>
            <w:pPr>
              <w:pStyle w:val="TableContents"/>
              <w:bidi w:val="0"/>
              <w:spacing w:before="0" w:after="283"/>
              <w:jc w:val="right"/>
              <w:rPr/>
            </w:pPr>
            <w:r>
              <w:rPr/>
              <w:t>25,748,890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15,971,890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03" w:type="dxa"/>
            <w:tcBorders/>
            <w:shd w:fill="CCEEFF" w:val="clear"/>
            <w:vAlign w:val="bottom"/>
          </w:tcPr>
          <w:p>
            <w:pPr>
              <w:pStyle w:val="TableContents"/>
              <w:bidi w:val="0"/>
              <w:spacing w:before="0" w:after="283"/>
              <w:jc w:val="right"/>
              <w:rPr/>
            </w:pPr>
            <w:r>
              <w:rPr/>
              <w:t>9,777,000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668" w:type="dxa"/>
            <w:tcBorders/>
            <w:shd w:fill="CCEEFF" w:val="clear"/>
            <w:vAlign w:val="bottom"/>
          </w:tcPr>
          <w:p>
            <w:pPr>
              <w:pStyle w:val="TableContents"/>
              <w:bidi w:val="0"/>
              <w:spacing w:before="0" w:after="283"/>
              <w:jc w:val="right"/>
              <w:rPr/>
            </w:pPr>
            <w:r>
              <w:rPr/>
              <w:t>20.8</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Stock being offered is issuable to CPIF II-7 Limited, an entity affiliated with Celadon, upon exchange of the Notes. Under the so-called “rule of three,” if voting and dispositive decisions regarding an entity’s securities are made by two or more individuals, and a voting and dispositive decision requires the approval of a majority of those individuals, then none of the individuals is deemed a beneficial owner of the entity’s securities. This is the situation with regard to Celadon. Based upon the foregoing analysis, no individual shareholder of Celadon exercises voting or dispositive control over any of the securities held by Celadon, even those in which he directly holds an economic interest.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Accordingly, none of them are deemed to have or share beneficial ownership of such shares. Mr. Donald Tang, a member of our board of directors, is a manager of Celadon Partners, LLC, which is the sole manager of Celadon, but does not have voting or investment power over the shares held by Celadon. The business address of Celadon is PO Box 500, Suite 210, 2nd Floor, Windward III, Regatta Office Park, Grand Cayman, KY1-1106, Cayman Islands.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Relationship with Selling Securityholder </w:t>
      </w:r>
    </w:p>
    <w:p>
      <w:pPr>
        <w:pStyle w:val="TextBody"/>
        <w:bidi w:val="0"/>
        <w:spacing w:before="120" w:after="0"/>
        <w:jc w:val="left"/>
        <w:rPr>
          <w:rFonts w:ascii="Times New Roman" w:hAnsi="Times New Roman"/>
          <w:sz w:val="20"/>
        </w:rPr>
      </w:pPr>
      <w:r>
        <w:rPr>
          <w:rFonts w:ascii="Times New Roman" w:hAnsi="Times New Roman"/>
          <w:sz w:val="20"/>
        </w:rPr>
        <w:t xml:space="preserve">Pursuant to a letter agreement executed with Celadon in December 2024, Celadon had the right to designate certain directors to our Board, subject to the terms and conditions provided in its letter agreement. On December 9, 2024, Donald Tang was appointed as a director of our predecessor’s Board of Directors pursuant to the letter agreement with Celadon. On March 7, 2025, Feng Hsiung was appointed as a director of our predecessor’s Board of Directors and on July 18, 2025, Bryan Baum was appointed as a director of our predecessor’s Board of Directors pursuant to a request by Celadon under terms of the same letter agreement. In connection with our reorganization, we, Celadon and our predecessor entered into an amended and restated letter agreement adding us as a party to the letter agreement, and the same three directors were appointed to our Board. As of the date of this prospectus, Celadon held three of the eight seats on the Board.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certain agreements, which have been amended from time to time, with GeneFab, LLC, a Delaware limited liability company, or GeneFab, and Valere Bio, Inc., a Delaware corporation and the parent company of GeneFab, or Valere, which is wholly owned by a company managed by Celadon, for the transfer of certain assets, provision of services (for which we may be reimbursed) and sublease of our premises in California as well as license of our intellectual property rights to conduct manufacturing services. These agreements with GeneFab include a letter agreement whereby GeneFab has the option to purchase certain shares of our common stock, subject to the terms specified therein. This letter agreement relating to the option was assigned to Valere Holdings LLC, an affiliate of GeneFab, and it was terminated in April 2026. In addition, we entered into a economic share agreement in August 2023, pursuant to which we were entitled to receive 10% of the realized gains of GeneFab’s parent company, and this agreement was terminated in April 2026. Donald Tang, who is currently a member of our Board, is a manager of Celadon Partners, LLC, which is the sole manager of Celadon.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2024, we sold certain warrants and shares of convertible preferred stock to Celadon, and the shares of Common Stock underlying such securities were registered for resale pursuant to a registration rights agreement. </w:t>
      </w:r>
    </w:p>
    <w:p>
      <w:pPr>
        <w:pStyle w:val="TextBody"/>
        <w:bidi w:val="0"/>
        <w:spacing w:before="240" w:after="0"/>
        <w:jc w:val="left"/>
        <w:rPr>
          <w:rFonts w:ascii="Times New Roman" w:hAnsi="Times New Roman"/>
          <w:sz w:val="20"/>
        </w:rPr>
      </w:pPr>
      <w:r>
        <w:rPr>
          <w:rFonts w:ascii="Times New Roman" w:hAnsi="Times New Roman"/>
          <w:sz w:val="20"/>
        </w:rPr>
        <w:t>On April 27, 2026, we entered into a securities purchase agreement with the Selling Securityholder for the sale of the Notes. On May 20, 2026, we issued and sold the Initial Notes and entered into certain ancillary agreements with or in favor of the Selling Securityholder. For more information, see the section above titled “</w:t>
      </w:r>
      <w:r>
        <w:rPr>
          <w:rFonts w:ascii="Times New Roman" w:hAnsi="Times New Roman"/>
          <w:i/>
          <w:sz w:val="20"/>
        </w:rPr>
        <w:t>Prospectus Summary—May 2026 Private Placement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On July 14, 2026, we entered into the Merger Agreement with affiliates of Celadon. For more information, see the section above titled “</w:t>
      </w:r>
      <w:r>
        <w:rPr>
          <w:rFonts w:ascii="Times New Roman" w:hAnsi="Times New Roman"/>
          <w:i/>
          <w:sz w:val="20"/>
        </w:rPr>
        <w:t>Prospectus Summary—Merger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Other than these relationships with Celadon, the Selling Securityholder has not had a material relationship with us or any of our predecessors within the past three years, other than as a result of the ownership of shares of Common Stock, the Notes or other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87527_9"/>
      <w:bookmarkEnd w:id="12"/>
      <w:r>
        <w:rPr>
          <w:rFonts w:ascii="Times New Roman" w:hAnsi="Times New Roman"/>
          <w:b/>
          <w:sz w:val="20"/>
        </w:rPr>
        <w:t xml:space="preserve">DESCRIPTION OF SECURITIES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summarizes certain important terms of our capital stock as of the date of this prospectus as specified in our Certificate of Incorporation and our Bylaws. Because the following description is only a summary, it does not contain all the information that may be important to you. For a complete description of the matters set forth in this section titled “Description of Securities,” you should refer to the Charter, the Bylaws, the Investor Rights and Lock-up Agreement dated June 8, 2022, by and among us (as successor to Senti Biosciences, Inc.) and the parties listed therein as Investors (the “Investor Rights and Lock-Up Agreement”), and the Registration Rights Agreement dated December 2, 2024 between us (as successor to Senti Biosciences, Inc.) and the parties listed therein, which are included as exhibits to Senti Biosciences, Inc.’s Annual Report on Form 10-K for the year ended December 31, 2025, and to the applicable provisions of the DGCL.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and Outstanding Stock </w:t>
      </w:r>
    </w:p>
    <w:p>
      <w:pPr>
        <w:pStyle w:val="TextBody"/>
        <w:bidi w:val="0"/>
        <w:spacing w:before="120" w:after="0"/>
        <w:jc w:val="left"/>
        <w:rPr>
          <w:rFonts w:ascii="Times New Roman" w:hAnsi="Times New Roman"/>
          <w:sz w:val="20"/>
        </w:rPr>
      </w:pPr>
      <w:r>
        <w:rPr>
          <w:rFonts w:ascii="Times New Roman" w:hAnsi="Times New Roman"/>
          <w:sz w:val="20"/>
        </w:rPr>
        <w:t xml:space="preserve">The Charter authorizes the issuance of 510,000,000 shares, consisting of 500,000,000 shares of common stock, $0.0001 par value per share, and 10,000,000 shares of undesignated preferred stock, $0.0001 par value per share. As of March 31, 2026, there were 31,144,754 shares of common stock outstanding and no shares of preferred stock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Charter provides the following with respect to the rights, powers, preferences and privileges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Power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required by law or as otherwise provided in any certificate of designation for any series of preferred stock, the holders of our common stock possess all voting power for the election of the directors and all other matters requiring stockholder action. Holders of our common stock are entitled to one vote per share on matters to be voted on by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will be entitled to receive such dividends, if any, as may be declared from time to time by our board of directors in its discretion out of funds legally available therefor. We have not historically paid any cash dividends on our common stock to date and do not intend to pay cash dividends in the foreseeable future. Any payment of cash dividends in the future will be dependent upon our revenues and earnings, if any, capital requirements and general financial conditions. In no event will any stock dividends or stock splits or combinations of stock be declared or made on our common stock unless our common stock at the time outstanding are treated equally and identically.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Dissolution and Winding Up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voluntary or involuntary liquidation, dissolution or winding-up, our net assets will be distributed pro rata to the holders of our common stock, subject to the rights of the holders of the preferred stock, if 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Preemptive or Other Rights </w:t>
      </w:r>
    </w:p>
    <w:p>
      <w:pPr>
        <w:pStyle w:val="TextBody"/>
        <w:bidi w:val="0"/>
        <w:spacing w:before="120" w:after="0"/>
        <w:jc w:val="left"/>
        <w:rPr>
          <w:rFonts w:ascii="Times New Roman" w:hAnsi="Times New Roman"/>
          <w:sz w:val="20"/>
        </w:rPr>
      </w:pPr>
      <w:r>
        <w:rPr>
          <w:rFonts w:ascii="Times New Roman" w:hAnsi="Times New Roman"/>
          <w:sz w:val="20"/>
        </w:rPr>
        <w:t xml:space="preserve">There are no sinking fund provisions applicable to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Transfer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 and the transfer restrictions set forth in Article IV of the Bylaws, shares of our common stock and the rights and obligations associated therewith are fully transferable to any transferee.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Charter provides that shares of preferred stock may be issued from time to time in one or more series. Our board of directors is authorized to fix designations, powers, including voting powers, full or limited, or no voting powers, preferences and the relative, participating, optional or other special rights of the shares of each series of preferred stock and any qualifications, limitations and restrictions thereof. Our board of directors is also able to, without stockholder approval, issue preferred stock with voting and other rights that could adversely affect the voting power and other rights of the holders of our common stock and could have anti-takeover effects. The ability of our board of directors to issue preferred stock without stockholder approval could have the effect of delaying, deferring or preventing a change of control of Senti or the removal of existing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b/>
          <w:i/>
          <w:sz w:val="20"/>
        </w:rPr>
      </w:pPr>
      <w:r>
        <w:rPr>
          <w:rFonts w:ascii="Times New Roman" w:hAnsi="Times New Roman"/>
          <w:b/>
          <w:i/>
          <w:sz w:val="20"/>
        </w:rPr>
        <w:t xml:space="preserve">2022 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We (as successor to Senti Biosciences, Inc.) and certain of our stockholders are party to the Investor Rights and Lock-up Agreement, pursuant to which, among other things, such stockholders were granted certain registration rights with respect to certain shares of securities held by them.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the Founder Shares (as defined in the Investor Rights and Lock-up Agreement), the holders of the Private Placement Shares (as defined in the Business Combination Agreement) and the Anchor Investors (as defined in the Business Combination Agreement) are entitled to registration rights pursuant to the registration and stockholder rights agreement requiring us to register such securities for resale. The holders of these securities are entitled to make up to three demands, excluding short form demands, that we register such securities. In addition, the holders have certain “piggy-back” registration rights with respect to registration statements filed subsequent to the completion of an initial business combination and rights to require us to register for resale such securities pursuant to Rule 415 under the Securities Act. The registration rights agreement does not contain liquidated damages or other cash settlement provisions resulting from delays in registering our securities. We will bear the expenses incurred in connection with the filing of any such registration statements. Under the Investor Rights and Lock-up Agreement, the Anchor Investors will be entitled to registration rights in respect of these shares. In addition, the PIPE Investors (as defined in the Business Combination Agreement) are entitled to registration rights pursuant to the subscription agreements they entered into with us in connection with the PIPE Investment (as defined in the Business Combination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These registration rights are only applicable so long as we do not already have a resale registration statement in effective for these shares. As of the date of this prospectus, we currently have in effect a resale registration statement for the shares included in the Investor Rights and Lock-up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Agreement (PIPE Transaction) </w:t>
      </w:r>
    </w:p>
    <w:p>
      <w:pPr>
        <w:pStyle w:val="TextBody"/>
        <w:bidi w:val="0"/>
        <w:spacing w:before="120" w:after="0"/>
        <w:jc w:val="left"/>
        <w:rPr>
          <w:rFonts w:ascii="Times New Roman" w:hAnsi="Times New Roman"/>
          <w:sz w:val="20"/>
        </w:rPr>
      </w:pPr>
      <w:r>
        <w:rPr>
          <w:rFonts w:ascii="Times New Roman" w:hAnsi="Times New Roman"/>
          <w:sz w:val="20"/>
        </w:rPr>
        <w:t xml:space="preserve">We (as successor to Senti Biosciences, Inc.) and the investors, who participated in the private placement transaction in December 2024 (the “PIPE Transaction”), are party to a registration rights agreement, pursuant to which, among other things, we agreed to file, as promptly as reasonably practicable following the closing of the PIPE Transaction, but, in any event, not later than one hundred twenty (120) days thereafter (the “PIPE Filing Date”), a resale registration statement on Form S-3 (or Form S-1 if Form S-3 is not available) providing for the resale by the Selling Securityholders of (i) the shares of common stock issuable upon conversion of the Series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Preferred Stock and (ii) the shares of common stock issuable upon the exercise of the Warrants , wherein (i) and (ii) collectively are referred to as the Registrable Shares, and to use commercially reasonable efforts to cause such resale registration statement to be declared effective as soon as practicable but in any event no later than the earlier of (a) the seventy-fifth (75th) calendar day following the PIPE Filing Date of the registration statement if the SEC notifies us that it will “review” the registration statement and (b) the fifth (5th) business day after the date we are notified (orally or in writing, whichever is earlier) by the SEC that the registration statement will not be “reviewed” or will not be subject to further review. We also agreed to take all steps necessary to keep such registration statement effective at all times until all Registrable Shares have been resold, or there remains no Registrable Shares. We have agreed to pay a liquidated damages penalty upon certain failures to meet the deadlines set forth above or to keep the resale registration statement continuously effective, which penalties will not exceed 5% of the aggregate subscription amount.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Agreement (Notes Offering) </w:t>
      </w:r>
    </w:p>
    <w:p>
      <w:pPr>
        <w:pStyle w:val="TextBody"/>
        <w:bidi w:val="0"/>
        <w:spacing w:before="120" w:after="0"/>
        <w:jc w:val="left"/>
        <w:rPr>
          <w:rFonts w:ascii="Times New Roman" w:hAnsi="Times New Roman"/>
          <w:sz w:val="20"/>
        </w:rPr>
      </w:pPr>
      <w:r>
        <w:rPr>
          <w:rFonts w:ascii="Times New Roman" w:hAnsi="Times New Roman"/>
          <w:sz w:val="20"/>
        </w:rPr>
        <w:t xml:space="preserve">We and the Selling Securityholder who participated in the issuance of the Notes entered into the Registration Rights Agreement, pursuant to which, among other things, we agreed to file, as promptly as reasonably practicable following any issuance of the Notes, but, in any event, not later than thirty days thereafter (the “Filing Deadline”), a resale registration statement on Form S-3 (or another appropriate form if Form S-3 is not available) providing for the resale by the Selling Securityholder of the shares of common stock issuable upon exchange of the Notes, and to use reasonable best efforts to cause any such resale registration statement to be declared effective as soon as practicable but in any event no later than the earlier of (a) the seventy-fifth calendar day following the earlier of the filing date and the Filing Deadline of such registration statement if the SEC notifies us that it will “review” the registration statement and (b) the fifth business day after the date we are notified (orally or in writing, whichever is earlier) by the SEC that such registration statement will not be “reviewed” or will not be subject to further review. We further agreed to use reasonable best efforts to keep any such registration statement effective at all times until the earlier of (i) the date on which the Selling Securityholder shall have resold all the Registrable Securities covered thereby pursuant to Rule 144 or pursuant to such registration statement, (ii) the date on which the Registrable Securities may be resold by the Selling Securityholder without registration and without regard to any volume or manner-of-sale limitations by reason of Rule 144, without the requirement for us to be in compliance with the current public information requirement under Rule 144 under the Securities Act or any other rule of similar effect, and (iii) the date on which the Notes are redeemed, repaid or otherwise repurchased.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Among other things, the Charter and Bylaws (as amended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permit our board of directors to issue up to 10,000,000 shares of preferred stock, with any rights, preferences and privileges as they may designate, including the right to approve an acquisition or other change of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our number of directors may be changed only by resolution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subject to the rights of any series of preferred stock to elect directors, directors may be removed only with cause by the holders of at least 75% of all of our then-outstanding shares of the capital stock entitled to vote generally at an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all vacancies, subject to the rights of any series of preferred stock, including newly created directorships, may, except as otherwise required by law, be filled by the affirmative vote of a majority of directors then in office, even if less than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special meetings of our stockholders may be called by our board of directors pursuant to a resolution adopted by a majority of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our board of directors will be divided into three classes of directors, with the directors serving three year terms, therefore making it more difficult for stockholders to change the composition of our board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provide for cumulative voting rights, therefore allowing the holders of a majority of our common stock entitled to vote in any election of directors to elect all of the directors standing for election, if they should so choose.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permitted by the DGCL, our Charter and Bylaws, provide that our board of directors and Officers (as defined in the DGCL) shall not be personally liable to us or our stockholders for monetary damages for breach of their fiduciary duty except for liability (a) for any breach of the director or officer’s duty of loyalty to us or our stockholders, (b) for the director or officer’s acts or omissions not in good faith or which involve intentional misconduct or a knowing violation of law, (c) for any transaction from which the director or officer derived an improper personal benefit, (d) in the case of directors, under Section 174 of the DGCL or (e) in the case of officers, arising from any claim brought by or in the right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combination of these provisions make it more difficult for the existing stockholders to replace our board of directors as well as for another party to obtain control of us by replacing our board of directors. Because our board of directors will have the power to retain and discharge its officers, these provisions could also make it more difficult for existing stockholders or another party to effect a change in management. In addition, the authorization of undesignated preferred stock will make it possible for our board of directors to issue preferred stock with voting or other rights or preferences that could impede the success of any attempt to change our control.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Anti-Takeover Provisions of Delaware Law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DGCL. This statute prevents certain Delaware corporations, under certain circumstances, from engaging in a “business combination”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stockholder who owns 15% or more of our outstanding voting stock, otherwise known as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affiliate of an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associate of an interested stockholder, for three years following the date that the stockholder became an interested stockholder.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“business combination” includes a merger or sale of more than 10% of a corporation’s assets. However, the above provisions of Section 203 would not apply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relevant board of directors approves the transaction that made the stockholder an “interested stockholder,” prior to the date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completion of the transaction that resulted in the stockholder becoming an interested stockholder, that stockholder owned at least 85% of the corporation’s voting stock outstanding at the time the transaction commenced, other than statutorily excluded shares of common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subsequent to the date of the transaction, the initial business combination is approved by the board of directors and authorized at a meeting of the corporation’s stockholders, and not by written consent, by an affirmative vote of at least two-thirds of the outstanding voting stock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may have the effect of delaying, deferring, or preventing changes in control. </w:t>
      </w:r>
    </w:p>
    <w:p>
      <w:pPr>
        <w:pStyle w:val="TextBody"/>
        <w:bidi w:val="0"/>
        <w:spacing w:before="360" w:after="0"/>
        <w:jc w:val="left"/>
        <w:rPr>
          <w:rFonts w:ascii="Times New Roman" w:hAnsi="Times New Roman"/>
          <w:b/>
          <w:i/>
          <w:sz w:val="20"/>
        </w:rPr>
      </w:pPr>
      <w:r>
        <w:rPr>
          <w:rFonts w:ascii="Times New Roman" w:hAnsi="Times New Roman"/>
          <w:b/>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Pursuant to our Bylaws, unless we consent in writing to the selection of an alternative forum,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owed by any of our current or former directors, officers or employees to us or our stockholders; (iii) any action asserting a claim arising pursuant to any provision of the DGCL, our Charter or our Bylaws (including their interpretation, validity or enforceability); or (iv) any action asserting a claim governed by the internal affairs doctrine. This exclusive forum provision will not apply to any causes of action arising under the Securities Act or the Exchange Act, or any other claim for which the federal courts have exclusive jurisdiction. Stockholders cannot waive compliance with the Securities Act, the Exchange Act or any other federal securities laws or the rules and regulations thereunder. Unless we consent in writing to the selection of an alternate forum, the United States federal district courts shall be the sole and exclusive forum for resolving any complaint asserting a cause of action arising under the Securities Act. In addition, our Bylaws provide that any person or entity purchasing or otherwise acquiring any interest in shares of our capital stock is deemed to have notice of and consented to these exclusive forum provisions. </w:t>
      </w:r>
    </w:p>
    <w:p>
      <w:pPr>
        <w:pStyle w:val="TextBody"/>
        <w:bidi w:val="0"/>
        <w:spacing w:before="240" w:after="0"/>
        <w:jc w:val="left"/>
        <w:rPr>
          <w:rFonts w:ascii="Times New Roman" w:hAnsi="Times New Roman"/>
          <w:sz w:val="20"/>
        </w:rPr>
      </w:pPr>
      <w:r>
        <w:rPr>
          <w:rFonts w:ascii="Times New Roman" w:hAnsi="Times New Roman"/>
          <w:sz w:val="20"/>
        </w:rPr>
        <w:t xml:space="preserve">The forum selection provisions in our Bylaws may limit our stockholders’ ability to litigate disputes with us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these forum selection provisions may impose additional litigation costs for stockholders who determine to pursue any such lawsuits against us.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w:t>
      </w:r>
    </w:p>
    <w:p>
      <w:pPr>
        <w:pStyle w:val="TextBody"/>
        <w:bidi w:val="0"/>
        <w:spacing w:before="120" w:after="0"/>
        <w:jc w:val="left"/>
        <w:rPr>
          <w:rFonts w:ascii="Times New Roman" w:hAnsi="Times New Roman"/>
          <w:sz w:val="20"/>
        </w:rPr>
      </w:pPr>
      <w:r>
        <w:rPr>
          <w:rFonts w:ascii="Times New Roman" w:hAnsi="Times New Roman"/>
          <w:sz w:val="20"/>
        </w:rPr>
        <w:t xml:space="preserve">Continental Stock Transfer &amp; Trust Company is the transfer agent for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Trading Symbol and Market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Capital Market under the symbol “SNTI”.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87527_10"/>
      <w:bookmarkEnd w:id="1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which as used herein includes the Selling Securityholder and donees, pledgees, transferees or other successors-in-interest selling shares of common stock or interests in shares of common stock received after the date of this prospectus from the Selling Securityholder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members, partners, stockholders or other equityholders of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and settlement of 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 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also may resell all or a portion of the shares in open market transactions in reliance upon Rule 144 under the Securities Act, </w:t>
      </w:r>
      <w:r>
        <w:rPr>
          <w:rFonts w:ascii="Times New Roman" w:hAnsi="Times New Roman"/>
          <w:sz w:val="20"/>
          <w:u w:val="single"/>
        </w:rPr>
        <w:t>provided</w:t>
      </w:r>
      <w:r>
        <w:rPr>
          <w:rFonts w:ascii="Times New Roman" w:hAnsi="Times New Roman"/>
          <w:sz w:val="20"/>
        </w:rPr>
        <w:t xml:space="preserve"> that they meet the criteria and conform to the requirements of that rule, or another available exemption from the registration requirements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selling stockholders against liabilities, including liabilities under the Securities Act and state securities laws, relating to the registration of the shares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with the selling stockholders to use reasonable best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pursuant to Rule 144 or pursuant to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 and (iii) the date on which the Notes are redeemed, repaid or otherwise repurchased.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87527_11"/>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Gunderson Dettmer Stough Villeneuve Franklin &amp; Hachigian, LLP has passed upon the validity of the Resale Shares offered by this prospectus and certain other legal matters related to this prospectus. </w:t>
      </w:r>
    </w:p>
    <w:p>
      <w:pPr>
        <w:pStyle w:val="TextBody"/>
        <w:bidi w:val="0"/>
        <w:spacing w:before="480" w:after="0"/>
        <w:jc w:val="center"/>
        <w:rPr>
          <w:rFonts w:ascii="Times New Roman" w:hAnsi="Times New Roman"/>
          <w:b/>
          <w:sz w:val="20"/>
        </w:rPr>
      </w:pPr>
      <w:bookmarkStart w:id="15" w:name="tx87527_12"/>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Senti Biosciences, Inc. as of December 31, 2025 and 2024, and for each of the years in the two-year period ended December 31, 2025, have been incorporated by reference herein and in the registration statement in reliance upon the report of KPMG LLP, independent registered public accounting firm, incorporated by reference herein, and upon authority of said firm as experts in accounting and auditing. The audit report covering the December 31, 2025 consolidated financial statements contains an explanatory paragraph that states that the Company has incurred recurring losses and negative cash flows from operations and has an accumulated deficit that raise substantial doubt about the entity’s ability to continue as a going concern. The consolidated financial statements do not include any adjustments that might result from the outcome of that uncertainty. </w:t>
      </w:r>
    </w:p>
    <w:p>
      <w:pPr>
        <w:pStyle w:val="TextBody"/>
        <w:bidi w:val="0"/>
        <w:spacing w:before="480" w:after="0"/>
        <w:jc w:val="center"/>
        <w:rPr>
          <w:rFonts w:ascii="Times New Roman" w:hAnsi="Times New Roman"/>
          <w:b/>
          <w:sz w:val="20"/>
        </w:rPr>
      </w:pPr>
      <w:bookmarkStart w:id="16" w:name="tx87527_13"/>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You may obtain copies of the registration statement and its exhibits via the SEC’s EDGAR database.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file annual, quarterly and current reports, proxy statements and other information with the SEC. Our SEC filings, including our reports, proxy and information statements and other information, are available to the public on a website maintained by the SEC located at </w:t>
      </w:r>
      <w:r>
        <w:rPr>
          <w:rFonts w:ascii="Times New Roman" w:hAnsi="Times New Roman"/>
          <w:i/>
          <w:sz w:val="20"/>
        </w:rPr>
        <w:t>www.sec.gov.</w:t>
      </w:r>
      <w:r>
        <w:rPr>
          <w:rFonts w:ascii="Times New Roman" w:hAnsi="Times New Roman"/>
          <w:sz w:val="20"/>
        </w:rPr>
        <w:t xml:space="preserve"> We also maintain a website at </w:t>
      </w:r>
      <w:r>
        <w:rPr>
          <w:rFonts w:ascii="Times New Roman" w:hAnsi="Times New Roman"/>
          <w:i/>
          <w:sz w:val="20"/>
        </w:rPr>
        <w:t>https://sentibio.com/.</w:t>
      </w:r>
      <w:r>
        <w:rPr>
          <w:rFonts w:ascii="Times New Roman" w:hAnsi="Times New Roman"/>
          <w:sz w:val="20"/>
        </w:rPr>
        <w:t xml:space="preserve">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Information contained on our website is not a part of or incorporated by reference into this prospectus and the inclusion of our website and investor relations website addresses in this prospectus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87527_14"/>
      <w:bookmarkEnd w:id="17"/>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incorporates by reference important business and financial information about us that is not included in or delivered with this document. The information incorporated by reference is considered to be part of this prospectus, and the SEC allows us to “incorporate by reference” the information we file with it, which means that we can disclose important information to you by referring you to those documents instead of having to repeat the information in this prospectus. Any statement contained in this prospectus or a document incorporated or deemed to be incorporated by reference herein or therein shall be deemed to be modified or superseded for the purposes of this prospectus to the extent that a statement contained herein or in any subsequently filed document which also is or is deemed to be incorporated by reference herein modifies or supersedes that prior statement. The modifying or superseding statement need not state that it has modified or superseded a prior statement or include any other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shall not be considered in its unmodified or superseded form to constitute a part of this prospectus, except as so modified or superseded. </w:t>
      </w:r>
    </w:p>
    <w:p>
      <w:pPr>
        <w:pStyle w:val="TextBody"/>
        <w:bidi w:val="0"/>
        <w:spacing w:before="240" w:after="0"/>
        <w:jc w:val="left"/>
        <w:rPr>
          <w:rFonts w:ascii="Times New Roman" w:hAnsi="Times New Roman"/>
          <w:sz w:val="20"/>
        </w:rPr>
      </w:pPr>
      <w:r>
        <w:rPr>
          <w:rFonts w:ascii="Times New Roman" w:hAnsi="Times New Roman"/>
          <w:sz w:val="20"/>
        </w:rPr>
        <w:t xml:space="preserve">We hereby incorporate by reference into this prospectus the following documents that we have filed with the SEC under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Form 10-K for the fiscal year ended December 31, 2025, filed with the SEC on </w:t>
            </w:r>
            <w:hyperlink r:id="rId3">
              <w:r>
                <w:rPr>
                  <w:rStyle w:val="InternetLink"/>
                  <w:rFonts w:ascii="Times New Roman" w:hAnsi="Times New Roman"/>
                  <w:sz w:val="20"/>
                </w:rPr>
                <w:t>March 27, 2026</w:t>
              </w:r>
            </w:hyperlink>
            <w:r>
              <w:rPr>
                <w:rFonts w:ascii="Times New Roman" w:hAnsi="Times New Roman"/>
                <w:sz w:val="20"/>
              </w:rPr>
              <w:t xml:space="preserve">, as amended by Amendment No. 1 to the Annual Report on Form 10-K for the fiscal year ended December  31, 2025, filed with the SEC on </w:t>
            </w:r>
            <w:hyperlink r:id="rId4">
              <w:r>
                <w:rPr>
                  <w:rStyle w:val="InternetLink"/>
                  <w:rFonts w:ascii="Times New Roman" w:hAnsi="Times New Roman"/>
                  <w:sz w:val="20"/>
                </w:rPr>
                <w:t>April 29,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 on </w:t>
            </w:r>
            <w:hyperlink r:id="rId5">
              <w:r>
                <w:rPr>
                  <w:rStyle w:val="InternetLink"/>
                  <w:rFonts w:ascii="Times New Roman" w:hAnsi="Times New Roman"/>
                  <w:sz w:val="20"/>
                </w:rPr>
                <w:t>Form 10-Q</w:t>
              </w:r>
            </w:hyperlink>
            <w:r>
              <w:rPr>
                <w:rFonts w:ascii="Times New Roman" w:hAnsi="Times New Roman"/>
                <w:sz w:val="20"/>
              </w:rPr>
              <w:t xml:space="preserve"> for the three months ended March 31, 2026, filed with the SEC on May 14,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6">
              <w:r>
                <w:rPr>
                  <w:rStyle w:val="InternetLink"/>
                  <w:rFonts w:ascii="Times New Roman" w:hAnsi="Times New Roman"/>
                  <w:sz w:val="20"/>
                </w:rPr>
                <w:t>March 19, 2026</w:t>
              </w:r>
            </w:hyperlink>
            <w:r>
              <w:rPr>
                <w:rFonts w:ascii="Times New Roman" w:hAnsi="Times New Roman"/>
                <w:sz w:val="20"/>
              </w:rPr>
              <w:t xml:space="preserve">, </w:t>
            </w:r>
            <w:hyperlink r:id="rId7">
              <w:r>
                <w:rPr>
                  <w:rStyle w:val="InternetLink"/>
                  <w:rFonts w:ascii="Times New Roman" w:hAnsi="Times New Roman"/>
                  <w:sz w:val="20"/>
                </w:rPr>
                <w:t>April  1, 2026</w:t>
              </w:r>
            </w:hyperlink>
            <w:r>
              <w:rPr>
                <w:rFonts w:ascii="Times New Roman" w:hAnsi="Times New Roman"/>
                <w:sz w:val="20"/>
              </w:rPr>
              <w:t xml:space="preserve">, </w:t>
            </w:r>
            <w:hyperlink r:id="rId8">
              <w:r>
                <w:rPr>
                  <w:rStyle w:val="InternetLink"/>
                  <w:rFonts w:ascii="Times New Roman" w:hAnsi="Times New Roman"/>
                  <w:sz w:val="20"/>
                </w:rPr>
                <w:t>April  24, 2026</w:t>
              </w:r>
            </w:hyperlink>
            <w:r>
              <w:rPr>
                <w:rFonts w:ascii="Times New Roman" w:hAnsi="Times New Roman"/>
                <w:sz w:val="20"/>
              </w:rPr>
              <w:t xml:space="preserve">, </w:t>
            </w:r>
            <w:hyperlink r:id="rId9">
              <w:r>
                <w:rPr>
                  <w:rStyle w:val="InternetLink"/>
                  <w:rFonts w:ascii="Times New Roman" w:hAnsi="Times New Roman"/>
                  <w:sz w:val="20"/>
                </w:rPr>
                <w:t>May  1, 2026</w:t>
              </w:r>
            </w:hyperlink>
            <w:r>
              <w:rPr>
                <w:rFonts w:ascii="Times New Roman" w:hAnsi="Times New Roman"/>
                <w:sz w:val="20"/>
              </w:rPr>
              <w:t xml:space="preserve">, </w:t>
            </w:r>
            <w:hyperlink r:id="rId10">
              <w:r>
                <w:rPr>
                  <w:rStyle w:val="InternetLink"/>
                  <w:rFonts w:ascii="Times New Roman" w:hAnsi="Times New Roman"/>
                  <w:sz w:val="20"/>
                </w:rPr>
                <w:t>May 14, 2026</w:t>
              </w:r>
            </w:hyperlink>
            <w:r>
              <w:rPr>
                <w:rFonts w:ascii="Times New Roman" w:hAnsi="Times New Roman"/>
                <w:sz w:val="20"/>
              </w:rPr>
              <w:t xml:space="preserve">, </w:t>
            </w:r>
            <w:hyperlink r:id="rId11">
              <w:r>
                <w:rPr>
                  <w:rStyle w:val="InternetLink"/>
                  <w:rFonts w:ascii="Times New Roman" w:hAnsi="Times New Roman"/>
                  <w:sz w:val="20"/>
                </w:rPr>
                <w:t>May 26, 2026</w:t>
              </w:r>
            </w:hyperlink>
            <w:r>
              <w:rPr>
                <w:rFonts w:ascii="Times New Roman" w:hAnsi="Times New Roman"/>
                <w:sz w:val="20"/>
              </w:rPr>
              <w:t xml:space="preserve"> and </w:t>
            </w:r>
            <w:hyperlink r:id="rId12">
              <w:r>
                <w:rPr>
                  <w:rStyle w:val="InternetLink"/>
                  <w:rFonts w:ascii="Times New Roman" w:hAnsi="Times New Roman"/>
                  <w:sz w:val="20"/>
                </w:rPr>
                <w:t>July 15, 2026</w:t>
              </w:r>
            </w:hyperlink>
            <w:r>
              <w:rPr>
                <w:rFonts w:ascii="Times New Roman" w:hAnsi="Times New Roman"/>
                <w:sz w:val="20"/>
              </w:rPr>
              <w:t xml:space="preserve"> (excluding, with respect to all such Current Reports on Form 8-K, any information furnished pursuant to Items 2.02 or 7.01, or corresponding information furnished under Item 9.01 or included as an exhibit);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description of our securities contained in Exhibit 4.2 of our Current Report on </w:t>
            </w:r>
            <w:hyperlink r:id="rId13">
              <w:r>
                <w:rPr>
                  <w:rStyle w:val="InternetLink"/>
                  <w:rFonts w:ascii="Times New Roman" w:hAnsi="Times New Roman"/>
                  <w:sz w:val="20"/>
                </w:rPr>
                <w:t>Form 8-K</w:t>
              </w:r>
            </w:hyperlink>
            <w:r>
              <w:rPr>
                <w:rFonts w:ascii="Times New Roman" w:hAnsi="Times New Roman"/>
                <w:sz w:val="20"/>
              </w:rPr>
              <w:t xml:space="preserve"> filed with the SEC on April 24,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that we file pursuant to Sections 13(a), 13(c), 14 and 15(d) of the Exchange Act (other than any such documents or portions thereof that are deemed to have been furnished and not filed in accordance with the rules of the SEC), after the date hereof and prior to the termination of an offering of securities under this prospectus shall be deemed to be incorporated by reference into this prospectus and will automatically update and supersede the information in this prospectus, the applicable prospectus supplement and any previously filed documents. </w:t>
      </w:r>
    </w:p>
    <w:p>
      <w:pPr>
        <w:pStyle w:val="TextBody"/>
        <w:bidi w:val="0"/>
        <w:spacing w:before="240" w:after="0"/>
        <w:jc w:val="left"/>
        <w:rPr>
          <w:rFonts w:ascii="Times New Roman" w:hAnsi="Times New Roman"/>
          <w:sz w:val="20"/>
        </w:rPr>
      </w:pPr>
      <w:r>
        <w:rPr>
          <w:rFonts w:ascii="Times New Roman" w:hAnsi="Times New Roman"/>
          <w:sz w:val="20"/>
        </w:rPr>
        <w:t xml:space="preserve">We will furnish without charge to each person, including any beneficial owner, to whom a prospectus is delivered, upon written or oral request, a copy of any or all of the documents incorporated by reference, including exhibits to these documents. Any such request may be made by writing or calling us at the following address or phone number: </w:t>
      </w:r>
    </w:p>
    <w:p>
      <w:pPr>
        <w:pStyle w:val="TextBody"/>
        <w:bidi w:val="0"/>
        <w:spacing w:before="120" w:after="0"/>
        <w:jc w:val="center"/>
        <w:rPr>
          <w:rFonts w:ascii="Times New Roman" w:hAnsi="Times New Roman"/>
          <w:sz w:val="20"/>
        </w:rPr>
      </w:pPr>
      <w:r>
        <w:rPr>
          <w:rFonts w:ascii="Times New Roman" w:hAnsi="Times New Roman"/>
          <w:sz w:val="20"/>
        </w:rPr>
        <w:t xml:space="preserve">Senti Biosciences Holdings, Inc. </w:t>
      </w:r>
    </w:p>
    <w:p>
      <w:pPr>
        <w:pStyle w:val="TextBody"/>
        <w:bidi w:val="0"/>
        <w:spacing w:before="0" w:after="0"/>
        <w:jc w:val="center"/>
        <w:rPr>
          <w:rFonts w:ascii="Times New Roman" w:hAnsi="Times New Roman"/>
          <w:sz w:val="20"/>
        </w:rPr>
      </w:pPr>
      <w:r>
        <w:rPr>
          <w:rFonts w:ascii="Times New Roman" w:hAnsi="Times New Roman"/>
          <w:sz w:val="20"/>
        </w:rPr>
        <w:t xml:space="preserve">2 Corporate Drive, First Floor </w:t>
      </w:r>
    </w:p>
    <w:p>
      <w:pPr>
        <w:pStyle w:val="TextBody"/>
        <w:bidi w:val="0"/>
        <w:spacing w:before="0" w:after="0"/>
        <w:jc w:val="center"/>
        <w:rPr>
          <w:rFonts w:ascii="Times New Roman" w:hAnsi="Times New Roman"/>
          <w:sz w:val="20"/>
        </w:rPr>
      </w:pPr>
      <w:r>
        <w:rPr>
          <w:rFonts w:ascii="Times New Roman" w:hAnsi="Times New Roman"/>
          <w:sz w:val="20"/>
        </w:rPr>
        <w:t xml:space="preserve">South San Francisco, CA 94080 </w:t>
      </w:r>
    </w:p>
    <w:p>
      <w:pPr>
        <w:pStyle w:val="TextBody"/>
        <w:bidi w:val="0"/>
        <w:spacing w:before="0" w:after="0"/>
        <w:jc w:val="center"/>
        <w:rPr>
          <w:rFonts w:ascii="Times New Roman" w:hAnsi="Times New Roman"/>
          <w:sz w:val="20"/>
        </w:rPr>
      </w:pPr>
      <w:r>
        <w:rPr>
          <w:rFonts w:ascii="Times New Roman" w:hAnsi="Times New Roman"/>
          <w:sz w:val="20"/>
        </w:rPr>
        <w:t xml:space="preserve">Telephone: (650) 239-2030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15,971,890 Shares of 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614930"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2614930" cy="6762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0" w:after="0"/>
        <w:jc w:val="center"/>
        <w:rPr/>
      </w:pPr>
      <w:r>
        <w:rPr/>
        <w:t>    </w:t>
      </w:r>
      <w:r>
        <w:rPr>
          <w:rFonts w:ascii="Times New Roman" w:hAnsi="Times New Roman"/>
          <w:b/>
          <w:sz w:val="20"/>
        </w:rPr>
        <w:t xml:space="preserve">, 2026 </w:t>
      </w:r>
    </w:p>
    <w:p>
      <w:pPr>
        <w:pStyle w:val="TextBody"/>
        <w:bidi w:val="0"/>
        <w:spacing w:before="1800" w:after="0"/>
        <w:jc w:val="left"/>
        <w:rPr>
          <w:rFonts w:ascii="Times New Roman" w:hAnsi="Times New Roman"/>
          <w:b/>
          <w:sz w:val="20"/>
        </w:rPr>
      </w:pPr>
      <w:r>
        <w:rPr>
          <w:rFonts w:ascii="Times New Roman" w:hAnsi="Times New Roman"/>
          <w:b/>
          <w:sz w:val="20"/>
        </w:rPr>
        <w:t xml:space="preserve">You should rely only on the information contained in this prospectus or any supplement or amendment hereto. We have not authorized anyone to provide you with different information. You should not assume that the information contained in this prospectus or any supplement or amendment hereto is accurate as of any date other than the date of this prospectus or any such supplement or amendment. 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14.</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estimated expenses to be borne by the registrant in connection with the securities being registered hereby. In addition, we may incur additional expenses in the future in connection with the offering of our securities pursuant to this prospectus. If required, any such additional expenses will be disclosed in a prospectus supplement.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73"/>
        <w:gridCol w:w="403"/>
        <w:gridCol w:w="141"/>
        <w:gridCol w:w="1158"/>
        <w:gridCol w:w="64"/>
      </w:tblGrid>
      <w:tr>
        <w:trPr/>
        <w:tc>
          <w:tcPr>
            <w:tcW w:w="5173"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Expense</w:t>
            </w:r>
          </w:p>
        </w:tc>
        <w:tc>
          <w:tcPr>
            <w:tcW w:w="403"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pPr>
            <w:r>
              <w:rPr>
                <w:b/>
              </w:rPr>
              <w:t>Estimated</w:t>
            </w:r>
            <w:r>
              <w:rPr/>
              <w:br/>
            </w:r>
            <w:r>
              <w:rPr>
                <w:b/>
              </w:rPr>
              <w:t>Amount</w:t>
            </w:r>
          </w:p>
        </w:tc>
        <w:tc>
          <w:tcPr>
            <w:tcW w:w="64" w:type="dxa"/>
            <w:tcBorders/>
            <w:vAlign w:val="bottom"/>
          </w:tcPr>
          <w:p>
            <w:pPr>
              <w:pStyle w:val="TableContents"/>
              <w:bidi w:val="0"/>
              <w:spacing w:before="0" w:after="283"/>
              <w:jc w:val="left"/>
              <w:rPr/>
            </w:pPr>
            <w:r>
              <w:rPr/>
              <w:t> </w:t>
            </w:r>
          </w:p>
        </w:tc>
      </w:tr>
      <w:tr>
        <w:trPr/>
        <w:tc>
          <w:tcPr>
            <w:tcW w:w="5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Securities and Exchange Commission registration fee</w:t>
            </w:r>
          </w:p>
        </w:tc>
        <w:tc>
          <w:tcPr>
            <w:tcW w:w="40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58" w:type="dxa"/>
            <w:tcBorders/>
            <w:shd w:fill="CCEEFF" w:val="clear"/>
            <w:vAlign w:val="bottom"/>
          </w:tcPr>
          <w:p>
            <w:pPr>
              <w:pStyle w:val="TableContents"/>
              <w:bidi w:val="0"/>
              <w:spacing w:before="0" w:after="283"/>
              <w:jc w:val="right"/>
              <w:rPr/>
            </w:pPr>
            <w:r>
              <w:rPr/>
              <w:t>2,156.31</w:t>
            </w:r>
          </w:p>
        </w:tc>
        <w:tc>
          <w:tcPr>
            <w:tcW w:w="64" w:type="dxa"/>
            <w:tcBorders/>
            <w:shd w:fill="CCEEFF" w:val="clear"/>
            <w:vAlign w:val="bottom"/>
          </w:tcPr>
          <w:p>
            <w:pPr>
              <w:pStyle w:val="TableContents"/>
              <w:bidi w:val="0"/>
              <w:spacing w:before="0" w:after="283"/>
              <w:jc w:val="left"/>
              <w:rPr/>
            </w:pPr>
            <w:r>
              <w:rPr/>
              <w:t> </w:t>
            </w:r>
          </w:p>
        </w:tc>
      </w:tr>
      <w:tr>
        <w:trPr/>
        <w:tc>
          <w:tcPr>
            <w:tcW w:w="5173"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158" w:type="dxa"/>
            <w:tcBorders/>
            <w:vAlign w:val="bottom"/>
          </w:tcPr>
          <w:p>
            <w:pPr>
              <w:pStyle w:val="TableContents"/>
              <w:bidi w:val="0"/>
              <w:spacing w:before="0" w:after="283"/>
              <w:jc w:val="right"/>
              <w:rPr/>
            </w:pPr>
            <w:r>
              <w:rPr/>
              <w:t>25,000</w:t>
            </w:r>
          </w:p>
        </w:tc>
        <w:tc>
          <w:tcPr>
            <w:tcW w:w="64" w:type="dxa"/>
            <w:tcBorders/>
            <w:vAlign w:val="bottom"/>
          </w:tcPr>
          <w:p>
            <w:pPr>
              <w:pStyle w:val="TableContents"/>
              <w:bidi w:val="0"/>
              <w:spacing w:before="0" w:after="283"/>
              <w:jc w:val="left"/>
              <w:rPr/>
            </w:pPr>
            <w:r>
              <w:rPr/>
              <w:t> </w:t>
            </w:r>
          </w:p>
        </w:tc>
      </w:tr>
      <w:tr>
        <w:trPr/>
        <w:tc>
          <w:tcPr>
            <w:tcW w:w="5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0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58" w:type="dxa"/>
            <w:tcBorders/>
            <w:shd w:fill="CCEEFF" w:val="clear"/>
            <w:vAlign w:val="bottom"/>
          </w:tcPr>
          <w:p>
            <w:pPr>
              <w:pStyle w:val="TableContents"/>
              <w:bidi w:val="0"/>
              <w:spacing w:before="0" w:after="283"/>
              <w:jc w:val="right"/>
              <w:rPr/>
            </w:pPr>
            <w:r>
              <w:rPr/>
              <w:t>50,000</w:t>
            </w:r>
          </w:p>
        </w:tc>
        <w:tc>
          <w:tcPr>
            <w:tcW w:w="64" w:type="dxa"/>
            <w:tcBorders/>
            <w:shd w:fill="CCEEFF" w:val="clear"/>
            <w:vAlign w:val="bottom"/>
          </w:tcPr>
          <w:p>
            <w:pPr>
              <w:pStyle w:val="TableContents"/>
              <w:bidi w:val="0"/>
              <w:spacing w:before="0" w:after="283"/>
              <w:jc w:val="left"/>
              <w:rPr/>
            </w:pPr>
            <w:r>
              <w:rPr/>
              <w:t> </w:t>
            </w:r>
          </w:p>
        </w:tc>
      </w:tr>
      <w:tr>
        <w:trPr/>
        <w:tc>
          <w:tcPr>
            <w:tcW w:w="5173" w:type="dxa"/>
            <w:tcBorders/>
          </w:tcPr>
          <w:p>
            <w:pPr>
              <w:pStyle w:val="TableContents"/>
              <w:bidi w:val="0"/>
              <w:spacing w:before="0" w:after="0"/>
              <w:jc w:val="left"/>
              <w:rPr>
                <w:rFonts w:ascii="Times New Roman" w:hAnsi="Times New Roman"/>
                <w:sz w:val="20"/>
              </w:rPr>
            </w:pPr>
            <w:r>
              <w:rPr>
                <w:rFonts w:ascii="Times New Roman" w:hAnsi="Times New Roman"/>
                <w:sz w:val="20"/>
              </w:rPr>
              <w:t>Financial printing and miscellaneous expenses</w:t>
            </w:r>
          </w:p>
        </w:tc>
        <w:tc>
          <w:tcPr>
            <w:tcW w:w="40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158" w:type="dxa"/>
            <w:tcBorders/>
            <w:vAlign w:val="bottom"/>
          </w:tcPr>
          <w:p>
            <w:pPr>
              <w:pStyle w:val="TableContents"/>
              <w:bidi w:val="0"/>
              <w:spacing w:before="0" w:after="283"/>
              <w:jc w:val="right"/>
              <w:rPr/>
            </w:pPr>
            <w:r>
              <w:rPr/>
              <w:t>10,000</w:t>
            </w:r>
          </w:p>
        </w:tc>
        <w:tc>
          <w:tcPr>
            <w:tcW w:w="64" w:type="dxa"/>
            <w:tcBorders/>
            <w:vAlign w:val="bottom"/>
          </w:tcPr>
          <w:p>
            <w:pPr>
              <w:pStyle w:val="TableContents"/>
              <w:bidi w:val="0"/>
              <w:spacing w:before="0" w:after="283"/>
              <w:jc w:val="left"/>
              <w:rPr/>
            </w:pPr>
            <w:r>
              <w:rPr/>
              <w:t> </w:t>
            </w:r>
          </w:p>
        </w:tc>
      </w:tr>
      <w:tr>
        <w:trPr/>
        <w:tc>
          <w:tcPr>
            <w:tcW w:w="517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40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158" w:type="dxa"/>
            <w:tcBorders/>
            <w:shd w:fill="CCEEFF" w:val="clear"/>
            <w:vAlign w:val="bottom"/>
          </w:tcPr>
          <w:p>
            <w:pPr>
              <w:pStyle w:val="TableContents"/>
              <w:bidi w:val="0"/>
              <w:spacing w:before="0" w:after="283"/>
              <w:jc w:val="right"/>
              <w:rPr/>
            </w:pPr>
            <w:r>
              <w:rPr/>
              <w:t>87,156.31</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pay the expenses, other than underwriting discounts and commissions and certain expenses incurred by the Selling Securityholder in disposing of the securities, associated with the sale of securities pursuant to this prospectus. The Selling Securityholder will bear all underwriting commissions and discounts, if any, attributable to their sale of the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15.</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all of our directors, officers, employees and agents shall be entitled to be indemnified by us to the fullest extent permitted by Section 145 of the DGCL. Section 145 of the DGCL concerning indemnification of officers, directors, employees and agents is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Section 145. Indemnification of officers, directors, employees and agents; insurance.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this section, references to “the corporation” shall include, in addition to the resulting corporation, any constituent corporation (including any constituent of a constituent) absorbed in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(j)</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(k)</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Section 102(b)(7) of the DGCL, our Certificate of Incorporation provides that no director or officer shall be personally liable to us or any of our stockholders for monetary damages resulting from breaches of their fiduciary duty as directors or officers, except to the extent such limitation on or exemption from liability is not permitted under the DGCL. The effect of this provision of our Certificate of Incorporation is to eliminate our rights and those of our stockholders (through stockholders’ derivative suits on our behalf) to recover monetary damages against a director or officer for breach of the fiduciary duty of care as a director or officer,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or officer’s duty of care. </w:t>
      </w:r>
    </w:p>
    <w:p>
      <w:pPr>
        <w:pStyle w:val="TextBody"/>
        <w:bidi w:val="0"/>
        <w:spacing w:before="240" w:after="0"/>
        <w:jc w:val="left"/>
        <w:rPr>
          <w:rFonts w:ascii="Times New Roman" w:hAnsi="Times New Roman"/>
          <w:sz w:val="20"/>
        </w:rPr>
      </w:pPr>
      <w:r>
        <w:rPr>
          <w:rFonts w:ascii="Times New Roman" w:hAnsi="Times New Roman"/>
          <w:sz w:val="20"/>
        </w:rPr>
        <w:t xml:space="preserve">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 Any repeal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amendment of provisions of our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person eligible for indemnification pursuant to our Certificate of Incorporation will be indemnified by us in connection with a proceeding initiated by such person only if such proceeding was authorized by our Board, except for proceedings to enforce rights to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The right to indemnification which is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Certificate of Incorporation will also permit us, to the extent and in the manner authorized or permitted by law, to indemnify and to advance expenses to persons other that those specifically covered by our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Our Bylaws include the provisions relating to advancement of expenses and indemnification rights consistent with those which are set forth in our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 </w:t>
      </w:r>
    </w:p>
    <w:p>
      <w:pPr>
        <w:pStyle w:val="TextBody"/>
        <w:bidi w:val="0"/>
        <w:spacing w:before="240" w:after="0"/>
        <w:jc w:val="left"/>
        <w:rPr>
          <w:rFonts w:ascii="Times New Roman" w:hAnsi="Times New Roman"/>
          <w:sz w:val="20"/>
        </w:rPr>
      </w:pPr>
      <w:r>
        <w:rPr>
          <w:rFonts w:ascii="Times New Roman" w:hAnsi="Times New Roman"/>
          <w:sz w:val="20"/>
        </w:rPr>
        <w:t xml:space="preserve">Any repeal or amendment of provisions of our Bylaws affecting indemnification rights, whether by our Board, stockholders or by changes in applicable law, or the adoption of any other provisions inconsistent therewith, will (unless otherwise required by law) be prospective only, except to the extent such amendment or change in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officers and directors, a form of which is filed as Exhibit 10.5 to our Registration Statement on Form S-4 that was declared effective by the SEC on May 13, 2022.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t>
      </w:r>
    </w:p>
    <w:p>
      <w:pPr>
        <w:pStyle w:val="TextBody"/>
        <w:bidi w:val="0"/>
        <w:spacing w:before="240" w:after="0"/>
        <w:jc w:val="left"/>
        <w:rPr>
          <w:rFonts w:ascii="Times New Roman" w:hAnsi="Times New Roman"/>
          <w:sz w:val="20"/>
        </w:rPr>
      </w:pPr>
      <w:r>
        <w:rPr>
          <w:rFonts w:ascii="Times New Roman" w:hAnsi="Times New Roman"/>
          <w:sz w:val="20"/>
        </w:rPr>
        <w:t xml:space="preserve">These limitations of liability do not alter director liability under the federal securities laws and do not affect the availability of equitable remedies such as an injunction or rescission.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Business Combination Agreement, we agreed to continue to indemnify DYNS’ directors and officers and have agreed to the continuation of director and officer liability insurance covering such directors and officers.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16.</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and Financial Statements Schedules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(a)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4"/>
        <w:gridCol w:w="309"/>
        <w:gridCol w:w="3829"/>
        <w:gridCol w:w="197"/>
        <w:gridCol w:w="259"/>
        <w:gridCol w:w="961"/>
        <w:gridCol w:w="60"/>
        <w:gridCol w:w="197"/>
        <w:gridCol w:w="60"/>
        <w:gridCol w:w="925"/>
        <w:gridCol w:w="60"/>
        <w:gridCol w:w="197"/>
        <w:gridCol w:w="121"/>
        <w:gridCol w:w="692"/>
        <w:gridCol w:w="60"/>
        <w:gridCol w:w="197"/>
        <w:gridCol w:w="1477"/>
      </w:tblGrid>
      <w:tr>
        <w:trPr/>
        <w:tc>
          <w:tcPr>
            <w:tcW w:w="604"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r>
      <w:tr>
        <w:trPr/>
        <w:tc>
          <w:tcPr>
            <w:tcW w:w="604"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3829"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5266" w:type="dxa"/>
            <w:gridSpan w:val="13"/>
            <w:tcBorders/>
            <w:vAlign w:val="bottom"/>
          </w:tcPr>
          <w:p>
            <w:pPr>
              <w:pStyle w:val="TableContents"/>
              <w:bidi w:val="0"/>
              <w:spacing w:before="0" w:after="283"/>
              <w:jc w:val="center"/>
              <w:rPr>
                <w:b/>
              </w:rPr>
            </w:pPr>
            <w:r>
              <w:rPr>
                <w:b/>
              </w:rPr>
              <w:t>Incorporated by Reference</w:t>
            </w:r>
          </w:p>
        </w:tc>
      </w:tr>
      <w:tr>
        <w:trPr/>
        <w:tc>
          <w:tcPr>
            <w:tcW w:w="604"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309" w:type="dxa"/>
            <w:tcBorders/>
            <w:vAlign w:val="bottom"/>
          </w:tcPr>
          <w:p>
            <w:pPr>
              <w:pStyle w:val="TableContents"/>
              <w:bidi w:val="0"/>
              <w:spacing w:before="0" w:after="283"/>
              <w:jc w:val="left"/>
              <w:rPr/>
            </w:pPr>
            <w:r>
              <w:rPr/>
              <w:t>  </w:t>
            </w:r>
          </w:p>
        </w:tc>
        <w:tc>
          <w:tcPr>
            <w:tcW w:w="3829" w:type="dxa"/>
            <w:tcBorders/>
            <w:vAlign w:val="bottom"/>
          </w:tcPr>
          <w:p>
            <w:pPr>
              <w:pStyle w:val="TableContents"/>
              <w:bidi w:val="0"/>
              <w:spacing w:before="0" w:after="283"/>
              <w:jc w:val="center"/>
              <w:rPr>
                <w:b/>
              </w:rPr>
            </w:pPr>
            <w:r>
              <w:rPr>
                <w:b/>
              </w:rPr>
              <w:t>Description</w:t>
            </w:r>
          </w:p>
        </w:tc>
        <w:tc>
          <w:tcPr>
            <w:tcW w:w="197" w:type="dxa"/>
            <w:tcBorders/>
            <w:vAlign w:val="bottom"/>
          </w:tcPr>
          <w:p>
            <w:pPr>
              <w:pStyle w:val="TableContents"/>
              <w:bidi w:val="0"/>
              <w:spacing w:before="0" w:after="283"/>
              <w:jc w:val="left"/>
              <w:rPr/>
            </w:pPr>
            <w:r>
              <w:rPr/>
              <w:t>  </w:t>
            </w:r>
          </w:p>
        </w:tc>
        <w:tc>
          <w:tcPr>
            <w:tcW w:w="1220" w:type="dxa"/>
            <w:gridSpan w:val="2"/>
            <w:tcBorders/>
            <w:vAlign w:val="bottom"/>
          </w:tcPr>
          <w:p>
            <w:pPr>
              <w:pStyle w:val="TableContents"/>
              <w:bidi w:val="0"/>
              <w:spacing w:before="0" w:after="283"/>
              <w:jc w:val="center"/>
              <w:rPr>
                <w:b/>
              </w:rPr>
            </w:pPr>
            <w:r>
              <w:rPr>
                <w:b/>
              </w:rPr>
              <w:t>Schedule/Form</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985" w:type="dxa"/>
            <w:gridSpan w:val="2"/>
            <w:tcBorders/>
            <w:vAlign w:val="bottom"/>
          </w:tcPr>
          <w:p>
            <w:pPr>
              <w:pStyle w:val="TableContents"/>
              <w:bidi w:val="0"/>
              <w:spacing w:before="0" w:after="283"/>
              <w:jc w:val="center"/>
              <w:rPr>
                <w:b/>
              </w:rPr>
            </w:pPr>
            <w:r>
              <w:rPr>
                <w:b/>
              </w:rPr>
              <w:t>File No.</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13" w:type="dxa"/>
            <w:gridSpan w:val="2"/>
            <w:tcBorders/>
            <w:vAlign w:val="bottom"/>
          </w:tcPr>
          <w:p>
            <w:pPr>
              <w:pStyle w:val="TableContents"/>
              <w:bidi w:val="0"/>
              <w:spacing w:before="0" w:after="283"/>
              <w:jc w:val="center"/>
              <w:rPr>
                <w:b/>
              </w:rPr>
            </w:pPr>
            <w:r>
              <w:rPr>
                <w:b/>
              </w:rPr>
              <w:t>Exhibit</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7" w:type="dxa"/>
            <w:tcBorders/>
            <w:vAlign w:val="bottom"/>
          </w:tcPr>
          <w:p>
            <w:pPr>
              <w:pStyle w:val="TableContents"/>
              <w:bidi w:val="0"/>
              <w:spacing w:before="0" w:after="283"/>
              <w:jc w:val="center"/>
              <w:rPr>
                <w:b/>
              </w:rPr>
            </w:pPr>
            <w:r>
              <w:rPr>
                <w:b/>
              </w:rPr>
              <w:t>Filing Date</w:t>
            </w:r>
          </w:p>
        </w:tc>
      </w:tr>
      <w:tr>
        <w:trPr>
          <w:trHeight w:val="120" w:hRule="atLeast"/>
        </w:trPr>
        <w:tc>
          <w:tcPr>
            <w:tcW w:w="604" w:type="dxa"/>
            <w:tcBorders/>
            <w:vAlign w:val="center"/>
          </w:tcPr>
          <w:p>
            <w:pPr>
              <w:pStyle w:val="TableContents"/>
              <w:bidi w:val="0"/>
              <w:spacing w:before="0" w:after="283"/>
              <w:jc w:val="left"/>
              <w:rPr>
                <w:sz w:val="4"/>
                <w:szCs w:val="4"/>
              </w:rPr>
            </w:pPr>
            <w:r>
              <w:rPr>
                <w:sz w:val="4"/>
                <w:szCs w:val="4"/>
              </w:rPr>
            </w:r>
          </w:p>
        </w:tc>
        <w:tc>
          <w:tcPr>
            <w:tcW w:w="4138" w:type="dxa"/>
            <w:gridSpan w:val="2"/>
            <w:tcBorders/>
            <w:vAlign w:val="center"/>
          </w:tcPr>
          <w:p>
            <w:pPr>
              <w:pStyle w:val="TableContents"/>
              <w:bidi w:val="0"/>
              <w:spacing w:before="0" w:after="283"/>
              <w:jc w:val="left"/>
              <w:rPr>
                <w:sz w:val="4"/>
                <w:szCs w:val="4"/>
              </w:rPr>
            </w:pPr>
            <w:r>
              <w:rPr>
                <w:sz w:val="4"/>
                <w:szCs w:val="4"/>
              </w:rPr>
            </w:r>
          </w:p>
        </w:tc>
        <w:tc>
          <w:tcPr>
            <w:tcW w:w="1477" w:type="dxa"/>
            <w:gridSpan w:val="4"/>
            <w:tcBorders/>
            <w:vAlign w:val="center"/>
          </w:tcPr>
          <w:p>
            <w:pPr>
              <w:pStyle w:val="TableContents"/>
              <w:bidi w:val="0"/>
              <w:spacing w:before="0" w:after="283"/>
              <w:jc w:val="left"/>
              <w:rPr>
                <w:sz w:val="4"/>
                <w:szCs w:val="4"/>
              </w:rPr>
            </w:pPr>
            <w:r>
              <w:rPr>
                <w:sz w:val="4"/>
                <w:szCs w:val="4"/>
              </w:rPr>
            </w:r>
          </w:p>
        </w:tc>
        <w:tc>
          <w:tcPr>
            <w:tcW w:w="1242"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674" w:type="dxa"/>
            <w:gridSpan w:val="2"/>
            <w:tcBorders/>
            <w:vAlign w:val="center"/>
          </w:tcPr>
          <w:p>
            <w:pPr>
              <w:pStyle w:val="TableContents"/>
              <w:bidi w:val="0"/>
              <w:spacing w:before="0" w:after="283"/>
              <w:jc w:val="left"/>
              <w:rPr>
                <w:sz w:val="4"/>
                <w:szCs w:val="4"/>
              </w:rPr>
            </w:pPr>
            <w:r>
              <w:rPr>
                <w:sz w:val="4"/>
                <w:szCs w:val="4"/>
              </w:rPr>
            </w:r>
          </w:p>
        </w:tc>
      </w:tr>
      <w:tr>
        <w:trPr/>
        <w:tc>
          <w:tcPr>
            <w:tcW w:w="604" w:type="dxa"/>
            <w:tcBorders/>
          </w:tcPr>
          <w:p>
            <w:pPr>
              <w:pStyle w:val="TableContents"/>
              <w:bidi w:val="0"/>
              <w:spacing w:before="0" w:after="283"/>
              <w:jc w:val="left"/>
              <w:rPr/>
            </w:pPr>
            <w:r>
              <w:rPr/>
              <w:t>2.1^</w:t>
            </w:r>
          </w:p>
        </w:tc>
        <w:tc>
          <w:tcPr>
            <w:tcW w:w="309" w:type="dxa"/>
            <w:tcBorders/>
            <w:vAlign w:val="bottom"/>
          </w:tcPr>
          <w:p>
            <w:pPr>
              <w:pStyle w:val="TableContents"/>
              <w:bidi w:val="0"/>
              <w:spacing w:before="0" w:after="283"/>
              <w:jc w:val="left"/>
              <w:rPr/>
            </w:pPr>
            <w:r>
              <w:rPr/>
              <w:t>  </w:t>
            </w:r>
          </w:p>
        </w:tc>
        <w:tc>
          <w:tcPr>
            <w:tcW w:w="3829" w:type="dxa"/>
            <w:tcBorders/>
          </w:tcPr>
          <w:p>
            <w:pPr>
              <w:pStyle w:val="TableContents"/>
              <w:bidi w:val="0"/>
              <w:spacing w:before="0" w:after="283"/>
              <w:jc w:val="left"/>
              <w:rPr/>
            </w:pPr>
            <w:r>
              <w:fldChar w:fldCharType="begin"/>
            </w:r>
            <w:r>
              <w:rPr>
                <w:rStyle w:val="InternetLink"/>
              </w:rPr>
              <w:instrText xml:space="preserve"> HYPERLINK "http://www.sec.gov/Archives/edgar/data/1854270/000119312522146450/d189920ds4a.htm" \l "rom189920_361"</w:instrText>
            </w:r>
            <w:r>
              <w:rPr>
                <w:rStyle w:val="InternetLink"/>
              </w:rPr>
              <w:fldChar w:fldCharType="separate"/>
            </w:r>
            <w:r>
              <w:rPr>
                <w:rStyle w:val="InternetLink"/>
              </w:rPr>
              <w:t xml:space="preserve">Business Combination Agreement, dated as of December  19, 2021, by and among Dynamics Special Purpose Corp., Explore Merger Sub, Inc. and Senti Biosciences, Inc. </w:t>
            </w:r>
            <w:r>
              <w:rPr>
                <w:rStyle w:val="InternetLink"/>
              </w:rPr>
              <w:fldChar w:fldCharType="end"/>
            </w:r>
          </w:p>
        </w:tc>
        <w:tc>
          <w:tcPr>
            <w:tcW w:w="197"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left"/>
              <w:rPr/>
            </w:pPr>
            <w:r>
              <w:rPr/>
              <w:t> </w:t>
            </w:r>
          </w:p>
        </w:tc>
        <w:tc>
          <w:tcPr>
            <w:tcW w:w="961" w:type="dxa"/>
            <w:tcBorders/>
          </w:tcPr>
          <w:p>
            <w:pPr>
              <w:pStyle w:val="TableContents"/>
              <w:bidi w:val="0"/>
              <w:spacing w:before="0" w:after="283"/>
              <w:jc w:val="right"/>
              <w:rPr/>
            </w:pPr>
            <w:r>
              <w:rPr/>
              <w:t>S-4/A</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25" w:type="dxa"/>
            <w:tcBorders/>
          </w:tcPr>
          <w:p>
            <w:pPr>
              <w:pStyle w:val="TableContents"/>
              <w:bidi w:val="0"/>
              <w:spacing w:before="0" w:after="283"/>
              <w:jc w:val="right"/>
              <w:rPr/>
            </w:pPr>
            <w:r>
              <w:rPr/>
              <w:t>333-262707</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pPr>
            <w:r>
              <w:rPr/>
              <w:t> </w:t>
            </w:r>
          </w:p>
        </w:tc>
        <w:tc>
          <w:tcPr>
            <w:tcW w:w="692" w:type="dxa"/>
            <w:tcBorders/>
          </w:tcPr>
          <w:p>
            <w:pPr>
              <w:pStyle w:val="TableContents"/>
              <w:bidi w:val="0"/>
              <w:spacing w:before="0" w:after="283"/>
              <w:jc w:val="right"/>
              <w:rPr/>
            </w:pPr>
            <w:r>
              <w:rPr/>
              <w:t>2.1</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7" w:type="dxa"/>
            <w:tcBorders/>
          </w:tcPr>
          <w:p>
            <w:pPr>
              <w:pStyle w:val="TableContents"/>
              <w:bidi w:val="0"/>
              <w:spacing w:before="0" w:after="283"/>
              <w:jc w:val="left"/>
              <w:rPr/>
            </w:pPr>
            <w:r>
              <w:rPr/>
              <w:t>May 10, 2022</w:t>
            </w:r>
          </w:p>
        </w:tc>
      </w:tr>
      <w:tr>
        <w:trPr>
          <w:trHeight w:val="120" w:hRule="atLeast"/>
        </w:trPr>
        <w:tc>
          <w:tcPr>
            <w:tcW w:w="604" w:type="dxa"/>
            <w:tcBorders/>
            <w:vAlign w:val="center"/>
          </w:tcPr>
          <w:p>
            <w:pPr>
              <w:pStyle w:val="TableContents"/>
              <w:bidi w:val="0"/>
              <w:spacing w:before="0" w:after="283"/>
              <w:jc w:val="left"/>
              <w:rPr>
                <w:sz w:val="4"/>
                <w:szCs w:val="4"/>
              </w:rPr>
            </w:pPr>
            <w:r>
              <w:rPr>
                <w:sz w:val="4"/>
                <w:szCs w:val="4"/>
              </w:rPr>
            </w:r>
          </w:p>
        </w:tc>
        <w:tc>
          <w:tcPr>
            <w:tcW w:w="4138" w:type="dxa"/>
            <w:gridSpan w:val="2"/>
            <w:tcBorders/>
            <w:vAlign w:val="center"/>
          </w:tcPr>
          <w:p>
            <w:pPr>
              <w:pStyle w:val="TableContents"/>
              <w:bidi w:val="0"/>
              <w:spacing w:before="0" w:after="283"/>
              <w:jc w:val="left"/>
              <w:rPr>
                <w:sz w:val="4"/>
                <w:szCs w:val="4"/>
              </w:rPr>
            </w:pPr>
            <w:r>
              <w:rPr>
                <w:sz w:val="4"/>
                <w:szCs w:val="4"/>
              </w:rPr>
            </w:r>
          </w:p>
        </w:tc>
        <w:tc>
          <w:tcPr>
            <w:tcW w:w="1477" w:type="dxa"/>
            <w:gridSpan w:val="4"/>
            <w:tcBorders/>
            <w:vAlign w:val="center"/>
          </w:tcPr>
          <w:p>
            <w:pPr>
              <w:pStyle w:val="TableContents"/>
              <w:bidi w:val="0"/>
              <w:spacing w:before="0" w:after="283"/>
              <w:jc w:val="left"/>
              <w:rPr>
                <w:sz w:val="4"/>
                <w:szCs w:val="4"/>
              </w:rPr>
            </w:pPr>
            <w:r>
              <w:rPr>
                <w:sz w:val="4"/>
                <w:szCs w:val="4"/>
              </w:rPr>
            </w:r>
          </w:p>
        </w:tc>
        <w:tc>
          <w:tcPr>
            <w:tcW w:w="1242"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674" w:type="dxa"/>
            <w:gridSpan w:val="2"/>
            <w:tcBorders/>
            <w:vAlign w:val="center"/>
          </w:tcPr>
          <w:p>
            <w:pPr>
              <w:pStyle w:val="TableContents"/>
              <w:bidi w:val="0"/>
              <w:spacing w:before="0" w:after="283"/>
              <w:jc w:val="left"/>
              <w:rPr>
                <w:sz w:val="4"/>
                <w:szCs w:val="4"/>
              </w:rPr>
            </w:pPr>
            <w:r>
              <w:rPr>
                <w:sz w:val="4"/>
                <w:szCs w:val="4"/>
              </w:rPr>
            </w:r>
          </w:p>
        </w:tc>
      </w:tr>
      <w:tr>
        <w:trPr/>
        <w:tc>
          <w:tcPr>
            <w:tcW w:w="604" w:type="dxa"/>
            <w:tcBorders/>
          </w:tcPr>
          <w:p>
            <w:pPr>
              <w:pStyle w:val="TableContents"/>
              <w:bidi w:val="0"/>
              <w:spacing w:before="0" w:after="283"/>
              <w:jc w:val="left"/>
              <w:rPr/>
            </w:pPr>
            <w:r>
              <w:rPr/>
              <w:t>2.2^</w:t>
            </w:r>
          </w:p>
        </w:tc>
        <w:tc>
          <w:tcPr>
            <w:tcW w:w="309" w:type="dxa"/>
            <w:tcBorders/>
            <w:vAlign w:val="bottom"/>
          </w:tcPr>
          <w:p>
            <w:pPr>
              <w:pStyle w:val="TableContents"/>
              <w:bidi w:val="0"/>
              <w:spacing w:before="0" w:after="283"/>
              <w:jc w:val="left"/>
              <w:rPr/>
            </w:pPr>
            <w:r>
              <w:rPr/>
              <w:t>  </w:t>
            </w:r>
          </w:p>
        </w:tc>
        <w:tc>
          <w:tcPr>
            <w:tcW w:w="3829" w:type="dxa"/>
            <w:tcBorders/>
          </w:tcPr>
          <w:p>
            <w:pPr>
              <w:pStyle w:val="TableContents"/>
              <w:bidi w:val="0"/>
              <w:spacing w:before="0" w:after="283"/>
              <w:jc w:val="left"/>
              <w:rPr/>
            </w:pPr>
            <w:r>
              <w:fldChar w:fldCharType="begin"/>
            </w:r>
            <w:r>
              <w:rPr>
                <w:rStyle w:val="InternetLink"/>
              </w:rPr>
              <w:instrText xml:space="preserve"> HYPERLINK "http://www.sec.gov/Archives/edgar/data/1854270/000119312522146450/d189920ds4a.htm" \l "rom189920_361b"</w:instrText>
            </w:r>
            <w:r>
              <w:rPr>
                <w:rStyle w:val="InternetLink"/>
              </w:rPr>
              <w:fldChar w:fldCharType="separate"/>
            </w:r>
            <w:r>
              <w:rPr>
                <w:rStyle w:val="InternetLink"/>
              </w:rPr>
              <w:t xml:space="preserve">Amendment No. 1 to Business Combination Agreement, dated as of February  12, 2022, by and among Dynamics Special Purpose Corp., Explore Merger Sub, Inc. and Senti Biosciences, Inc. </w:t>
            </w:r>
            <w:r>
              <w:rPr>
                <w:rStyle w:val="InternetLink"/>
              </w:rPr>
              <w:fldChar w:fldCharType="end"/>
            </w:r>
          </w:p>
        </w:tc>
        <w:tc>
          <w:tcPr>
            <w:tcW w:w="197"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left"/>
              <w:rPr/>
            </w:pPr>
            <w:r>
              <w:rPr/>
              <w:t> </w:t>
            </w:r>
          </w:p>
        </w:tc>
        <w:tc>
          <w:tcPr>
            <w:tcW w:w="961" w:type="dxa"/>
            <w:tcBorders/>
          </w:tcPr>
          <w:p>
            <w:pPr>
              <w:pStyle w:val="TableContents"/>
              <w:bidi w:val="0"/>
              <w:spacing w:before="0" w:after="283"/>
              <w:jc w:val="right"/>
              <w:rPr/>
            </w:pPr>
            <w:r>
              <w:rPr/>
              <w:t>S-4/A</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25" w:type="dxa"/>
            <w:tcBorders/>
          </w:tcPr>
          <w:p>
            <w:pPr>
              <w:pStyle w:val="TableContents"/>
              <w:bidi w:val="0"/>
              <w:spacing w:before="0" w:after="283"/>
              <w:jc w:val="right"/>
              <w:rPr/>
            </w:pPr>
            <w:r>
              <w:rPr/>
              <w:t>333-262707</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pPr>
            <w:r>
              <w:rPr/>
              <w:t> </w:t>
            </w:r>
          </w:p>
        </w:tc>
        <w:tc>
          <w:tcPr>
            <w:tcW w:w="692" w:type="dxa"/>
            <w:tcBorders/>
          </w:tcPr>
          <w:p>
            <w:pPr>
              <w:pStyle w:val="TableContents"/>
              <w:bidi w:val="0"/>
              <w:spacing w:before="0" w:after="283"/>
              <w:jc w:val="right"/>
              <w:rPr/>
            </w:pPr>
            <w:r>
              <w:rPr/>
              <w:t>2.2</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7" w:type="dxa"/>
            <w:tcBorders/>
          </w:tcPr>
          <w:p>
            <w:pPr>
              <w:pStyle w:val="TableContents"/>
              <w:bidi w:val="0"/>
              <w:spacing w:before="0" w:after="283"/>
              <w:jc w:val="left"/>
              <w:rPr/>
            </w:pPr>
            <w:r>
              <w:rPr/>
              <w:t>May 10, 2022</w:t>
            </w:r>
          </w:p>
        </w:tc>
      </w:tr>
      <w:tr>
        <w:trPr>
          <w:trHeight w:val="120" w:hRule="atLeast"/>
        </w:trPr>
        <w:tc>
          <w:tcPr>
            <w:tcW w:w="604" w:type="dxa"/>
            <w:tcBorders/>
            <w:vAlign w:val="center"/>
          </w:tcPr>
          <w:p>
            <w:pPr>
              <w:pStyle w:val="TableContents"/>
              <w:bidi w:val="0"/>
              <w:spacing w:before="0" w:after="283"/>
              <w:jc w:val="left"/>
              <w:rPr>
                <w:sz w:val="4"/>
                <w:szCs w:val="4"/>
              </w:rPr>
            </w:pPr>
            <w:r>
              <w:rPr>
                <w:sz w:val="4"/>
                <w:szCs w:val="4"/>
              </w:rPr>
            </w:r>
          </w:p>
        </w:tc>
        <w:tc>
          <w:tcPr>
            <w:tcW w:w="4138" w:type="dxa"/>
            <w:gridSpan w:val="2"/>
            <w:tcBorders/>
            <w:vAlign w:val="center"/>
          </w:tcPr>
          <w:p>
            <w:pPr>
              <w:pStyle w:val="TableContents"/>
              <w:bidi w:val="0"/>
              <w:spacing w:before="0" w:after="283"/>
              <w:jc w:val="left"/>
              <w:rPr>
                <w:sz w:val="4"/>
                <w:szCs w:val="4"/>
              </w:rPr>
            </w:pPr>
            <w:r>
              <w:rPr>
                <w:sz w:val="4"/>
                <w:szCs w:val="4"/>
              </w:rPr>
            </w:r>
          </w:p>
        </w:tc>
        <w:tc>
          <w:tcPr>
            <w:tcW w:w="1477" w:type="dxa"/>
            <w:gridSpan w:val="4"/>
            <w:tcBorders/>
            <w:vAlign w:val="center"/>
          </w:tcPr>
          <w:p>
            <w:pPr>
              <w:pStyle w:val="TableContents"/>
              <w:bidi w:val="0"/>
              <w:spacing w:before="0" w:after="283"/>
              <w:jc w:val="left"/>
              <w:rPr>
                <w:sz w:val="4"/>
                <w:szCs w:val="4"/>
              </w:rPr>
            </w:pPr>
            <w:r>
              <w:rPr>
                <w:sz w:val="4"/>
                <w:szCs w:val="4"/>
              </w:rPr>
            </w:r>
          </w:p>
        </w:tc>
        <w:tc>
          <w:tcPr>
            <w:tcW w:w="1242"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674" w:type="dxa"/>
            <w:gridSpan w:val="2"/>
            <w:tcBorders/>
            <w:vAlign w:val="center"/>
          </w:tcPr>
          <w:p>
            <w:pPr>
              <w:pStyle w:val="TableContents"/>
              <w:bidi w:val="0"/>
              <w:spacing w:before="0" w:after="283"/>
              <w:jc w:val="left"/>
              <w:rPr>
                <w:sz w:val="4"/>
                <w:szCs w:val="4"/>
              </w:rPr>
            </w:pPr>
            <w:r>
              <w:rPr>
                <w:sz w:val="4"/>
                <w:szCs w:val="4"/>
              </w:rPr>
            </w:r>
          </w:p>
        </w:tc>
      </w:tr>
      <w:tr>
        <w:trPr/>
        <w:tc>
          <w:tcPr>
            <w:tcW w:w="604" w:type="dxa"/>
            <w:tcBorders/>
          </w:tcPr>
          <w:p>
            <w:pPr>
              <w:pStyle w:val="TableContents"/>
              <w:bidi w:val="0"/>
              <w:spacing w:before="0" w:after="283"/>
              <w:jc w:val="left"/>
              <w:rPr/>
            </w:pPr>
            <w:r>
              <w:rPr/>
              <w:t>2.3^</w:t>
            </w:r>
          </w:p>
        </w:tc>
        <w:tc>
          <w:tcPr>
            <w:tcW w:w="309" w:type="dxa"/>
            <w:tcBorders/>
            <w:vAlign w:val="bottom"/>
          </w:tcPr>
          <w:p>
            <w:pPr>
              <w:pStyle w:val="TableContents"/>
              <w:bidi w:val="0"/>
              <w:spacing w:before="0" w:after="283"/>
              <w:jc w:val="left"/>
              <w:rPr/>
            </w:pPr>
            <w:r>
              <w:rPr/>
              <w:t>  </w:t>
            </w:r>
          </w:p>
        </w:tc>
        <w:tc>
          <w:tcPr>
            <w:tcW w:w="3829" w:type="dxa"/>
            <w:tcBorders/>
          </w:tcPr>
          <w:p>
            <w:pPr>
              <w:pStyle w:val="TableContents"/>
              <w:bidi w:val="0"/>
              <w:spacing w:before="0" w:after="283"/>
              <w:jc w:val="left"/>
              <w:rPr/>
            </w:pPr>
            <w:hyperlink r:id="rId15">
              <w:r>
                <w:rPr>
                  <w:rStyle w:val="InternetLink"/>
                </w:rPr>
                <w:t xml:space="preserve">Amendment No. 2 to Business Combination Agreement, dated as of May  19, 2022, by and among Dynamics Special Purpose Corp., Explore Merger Sub, Inc. and Senti Biosciences, Inc. </w:t>
              </w:r>
            </w:hyperlink>
          </w:p>
        </w:tc>
        <w:tc>
          <w:tcPr>
            <w:tcW w:w="197"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left"/>
              <w:rPr/>
            </w:pPr>
            <w:r>
              <w:rPr/>
              <w:t> </w:t>
            </w:r>
          </w:p>
        </w:tc>
        <w:tc>
          <w:tcPr>
            <w:tcW w:w="961"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25"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pPr>
            <w:r>
              <w:rPr/>
              <w:t> </w:t>
            </w:r>
          </w:p>
        </w:tc>
        <w:tc>
          <w:tcPr>
            <w:tcW w:w="692" w:type="dxa"/>
            <w:tcBorders/>
          </w:tcPr>
          <w:p>
            <w:pPr>
              <w:pStyle w:val="TableContents"/>
              <w:bidi w:val="0"/>
              <w:spacing w:before="0" w:after="283"/>
              <w:jc w:val="right"/>
              <w:rPr/>
            </w:pPr>
            <w:r>
              <w:rPr/>
              <w:t>2.1</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7" w:type="dxa"/>
            <w:tcBorders/>
          </w:tcPr>
          <w:p>
            <w:pPr>
              <w:pStyle w:val="TableContents"/>
              <w:bidi w:val="0"/>
              <w:spacing w:before="0" w:after="283"/>
              <w:jc w:val="left"/>
              <w:rPr/>
            </w:pPr>
            <w:r>
              <w:rPr/>
              <w:t>May 24, 2022</w:t>
            </w:r>
          </w:p>
        </w:tc>
      </w:tr>
      <w:tr>
        <w:trPr>
          <w:trHeight w:val="120" w:hRule="atLeast"/>
        </w:trPr>
        <w:tc>
          <w:tcPr>
            <w:tcW w:w="604" w:type="dxa"/>
            <w:tcBorders/>
            <w:vAlign w:val="center"/>
          </w:tcPr>
          <w:p>
            <w:pPr>
              <w:pStyle w:val="TableContents"/>
              <w:bidi w:val="0"/>
              <w:spacing w:before="0" w:after="283"/>
              <w:jc w:val="left"/>
              <w:rPr>
                <w:sz w:val="4"/>
                <w:szCs w:val="4"/>
              </w:rPr>
            </w:pPr>
            <w:r>
              <w:rPr>
                <w:sz w:val="4"/>
                <w:szCs w:val="4"/>
              </w:rPr>
            </w:r>
          </w:p>
        </w:tc>
        <w:tc>
          <w:tcPr>
            <w:tcW w:w="4138" w:type="dxa"/>
            <w:gridSpan w:val="2"/>
            <w:tcBorders/>
            <w:vAlign w:val="center"/>
          </w:tcPr>
          <w:p>
            <w:pPr>
              <w:pStyle w:val="TableContents"/>
              <w:bidi w:val="0"/>
              <w:spacing w:before="0" w:after="283"/>
              <w:jc w:val="left"/>
              <w:rPr>
                <w:sz w:val="4"/>
                <w:szCs w:val="4"/>
              </w:rPr>
            </w:pPr>
            <w:r>
              <w:rPr>
                <w:sz w:val="4"/>
                <w:szCs w:val="4"/>
              </w:rPr>
            </w:r>
          </w:p>
        </w:tc>
        <w:tc>
          <w:tcPr>
            <w:tcW w:w="1477" w:type="dxa"/>
            <w:gridSpan w:val="4"/>
            <w:tcBorders/>
            <w:vAlign w:val="center"/>
          </w:tcPr>
          <w:p>
            <w:pPr>
              <w:pStyle w:val="TableContents"/>
              <w:bidi w:val="0"/>
              <w:spacing w:before="0" w:after="283"/>
              <w:jc w:val="left"/>
              <w:rPr>
                <w:sz w:val="4"/>
                <w:szCs w:val="4"/>
              </w:rPr>
            </w:pPr>
            <w:r>
              <w:rPr>
                <w:sz w:val="4"/>
                <w:szCs w:val="4"/>
              </w:rPr>
            </w:r>
          </w:p>
        </w:tc>
        <w:tc>
          <w:tcPr>
            <w:tcW w:w="1242"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674" w:type="dxa"/>
            <w:gridSpan w:val="2"/>
            <w:tcBorders/>
            <w:vAlign w:val="center"/>
          </w:tcPr>
          <w:p>
            <w:pPr>
              <w:pStyle w:val="TableContents"/>
              <w:bidi w:val="0"/>
              <w:spacing w:before="0" w:after="283"/>
              <w:jc w:val="left"/>
              <w:rPr>
                <w:sz w:val="4"/>
                <w:szCs w:val="4"/>
              </w:rPr>
            </w:pPr>
            <w:r>
              <w:rPr>
                <w:sz w:val="4"/>
                <w:szCs w:val="4"/>
              </w:rPr>
            </w:r>
          </w:p>
        </w:tc>
      </w:tr>
      <w:tr>
        <w:trPr/>
        <w:tc>
          <w:tcPr>
            <w:tcW w:w="604" w:type="dxa"/>
            <w:tcBorders/>
          </w:tcPr>
          <w:p>
            <w:pPr>
              <w:pStyle w:val="TableContents"/>
              <w:bidi w:val="0"/>
              <w:spacing w:before="0" w:after="283"/>
              <w:jc w:val="left"/>
              <w:rPr/>
            </w:pPr>
            <w:r>
              <w:rPr/>
              <w:t>2.4^</w:t>
            </w:r>
          </w:p>
        </w:tc>
        <w:tc>
          <w:tcPr>
            <w:tcW w:w="309" w:type="dxa"/>
            <w:tcBorders/>
            <w:vAlign w:val="bottom"/>
          </w:tcPr>
          <w:p>
            <w:pPr>
              <w:pStyle w:val="TableContents"/>
              <w:bidi w:val="0"/>
              <w:spacing w:before="0" w:after="283"/>
              <w:jc w:val="left"/>
              <w:rPr/>
            </w:pPr>
            <w:r>
              <w:rPr/>
              <w:t>  </w:t>
            </w:r>
          </w:p>
        </w:tc>
        <w:tc>
          <w:tcPr>
            <w:tcW w:w="3829" w:type="dxa"/>
            <w:tcBorders/>
          </w:tcPr>
          <w:p>
            <w:pPr>
              <w:pStyle w:val="TableContents"/>
              <w:bidi w:val="0"/>
              <w:spacing w:before="0" w:after="283"/>
              <w:jc w:val="left"/>
              <w:rPr/>
            </w:pPr>
            <w:hyperlink r:id="rId16">
              <w:r>
                <w:rPr>
                  <w:rStyle w:val="InternetLink"/>
                </w:rPr>
                <w:t xml:space="preserve">Agreement and Plan of Merger, dated April  24, 2026, by and among Senti Biosciences, Inc., Senti Biosciences Holdings, Inc. and Senti Biosciences Merger Sub, Inc. </w:t>
              </w:r>
            </w:hyperlink>
          </w:p>
        </w:tc>
        <w:tc>
          <w:tcPr>
            <w:tcW w:w="197"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left"/>
              <w:rPr/>
            </w:pPr>
            <w:r>
              <w:rPr/>
              <w:t> </w:t>
            </w:r>
          </w:p>
        </w:tc>
        <w:tc>
          <w:tcPr>
            <w:tcW w:w="961"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25"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pPr>
            <w:r>
              <w:rPr/>
              <w:t> </w:t>
            </w:r>
          </w:p>
        </w:tc>
        <w:tc>
          <w:tcPr>
            <w:tcW w:w="692" w:type="dxa"/>
            <w:tcBorders/>
          </w:tcPr>
          <w:p>
            <w:pPr>
              <w:pStyle w:val="TableContents"/>
              <w:bidi w:val="0"/>
              <w:spacing w:before="0" w:after="283"/>
              <w:jc w:val="right"/>
              <w:rPr/>
            </w:pPr>
            <w:r>
              <w:rPr/>
              <w:t>2.1</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7" w:type="dxa"/>
            <w:tcBorders/>
          </w:tcPr>
          <w:p>
            <w:pPr>
              <w:pStyle w:val="TableContents"/>
              <w:bidi w:val="0"/>
              <w:spacing w:before="0" w:after="283"/>
              <w:jc w:val="left"/>
              <w:rPr/>
            </w:pPr>
            <w:r>
              <w:rPr/>
              <w:t>April 24, 2026</w:t>
            </w:r>
          </w:p>
        </w:tc>
      </w:tr>
      <w:tr>
        <w:trPr>
          <w:trHeight w:val="120" w:hRule="atLeast"/>
        </w:trPr>
        <w:tc>
          <w:tcPr>
            <w:tcW w:w="604" w:type="dxa"/>
            <w:tcBorders/>
            <w:vAlign w:val="center"/>
          </w:tcPr>
          <w:p>
            <w:pPr>
              <w:pStyle w:val="TableContents"/>
              <w:bidi w:val="0"/>
              <w:spacing w:before="0" w:after="283"/>
              <w:jc w:val="left"/>
              <w:rPr>
                <w:sz w:val="4"/>
                <w:szCs w:val="4"/>
              </w:rPr>
            </w:pPr>
            <w:r>
              <w:rPr>
                <w:sz w:val="4"/>
                <w:szCs w:val="4"/>
              </w:rPr>
            </w:r>
          </w:p>
        </w:tc>
        <w:tc>
          <w:tcPr>
            <w:tcW w:w="4138" w:type="dxa"/>
            <w:gridSpan w:val="2"/>
            <w:tcBorders/>
            <w:vAlign w:val="center"/>
          </w:tcPr>
          <w:p>
            <w:pPr>
              <w:pStyle w:val="TableContents"/>
              <w:bidi w:val="0"/>
              <w:spacing w:before="0" w:after="283"/>
              <w:jc w:val="left"/>
              <w:rPr>
                <w:sz w:val="4"/>
                <w:szCs w:val="4"/>
              </w:rPr>
            </w:pPr>
            <w:r>
              <w:rPr>
                <w:sz w:val="4"/>
                <w:szCs w:val="4"/>
              </w:rPr>
            </w:r>
          </w:p>
        </w:tc>
        <w:tc>
          <w:tcPr>
            <w:tcW w:w="1477" w:type="dxa"/>
            <w:gridSpan w:val="4"/>
            <w:tcBorders/>
            <w:vAlign w:val="center"/>
          </w:tcPr>
          <w:p>
            <w:pPr>
              <w:pStyle w:val="TableContents"/>
              <w:bidi w:val="0"/>
              <w:spacing w:before="0" w:after="283"/>
              <w:jc w:val="left"/>
              <w:rPr>
                <w:sz w:val="4"/>
                <w:szCs w:val="4"/>
              </w:rPr>
            </w:pPr>
            <w:r>
              <w:rPr>
                <w:sz w:val="4"/>
                <w:szCs w:val="4"/>
              </w:rPr>
            </w:r>
          </w:p>
        </w:tc>
        <w:tc>
          <w:tcPr>
            <w:tcW w:w="1242"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674" w:type="dxa"/>
            <w:gridSpan w:val="2"/>
            <w:tcBorders/>
            <w:vAlign w:val="center"/>
          </w:tcPr>
          <w:p>
            <w:pPr>
              <w:pStyle w:val="TableContents"/>
              <w:bidi w:val="0"/>
              <w:spacing w:before="0" w:after="283"/>
              <w:jc w:val="left"/>
              <w:rPr>
                <w:sz w:val="4"/>
                <w:szCs w:val="4"/>
              </w:rPr>
            </w:pPr>
            <w:r>
              <w:rPr>
                <w:sz w:val="4"/>
                <w:szCs w:val="4"/>
              </w:rPr>
            </w:r>
          </w:p>
        </w:tc>
      </w:tr>
      <w:tr>
        <w:trPr/>
        <w:tc>
          <w:tcPr>
            <w:tcW w:w="604" w:type="dxa"/>
            <w:tcBorders/>
          </w:tcPr>
          <w:p>
            <w:pPr>
              <w:pStyle w:val="TableContents"/>
              <w:bidi w:val="0"/>
              <w:spacing w:before="0" w:after="283"/>
              <w:jc w:val="left"/>
              <w:rPr/>
            </w:pPr>
            <w:r>
              <w:rPr/>
              <w:t>3.1</w:t>
            </w:r>
          </w:p>
        </w:tc>
        <w:tc>
          <w:tcPr>
            <w:tcW w:w="309" w:type="dxa"/>
            <w:tcBorders/>
            <w:vAlign w:val="bottom"/>
          </w:tcPr>
          <w:p>
            <w:pPr>
              <w:pStyle w:val="TableContents"/>
              <w:bidi w:val="0"/>
              <w:spacing w:before="0" w:after="283"/>
              <w:jc w:val="left"/>
              <w:rPr/>
            </w:pPr>
            <w:r>
              <w:rPr/>
              <w:t>  </w:t>
            </w:r>
          </w:p>
        </w:tc>
        <w:tc>
          <w:tcPr>
            <w:tcW w:w="3829" w:type="dxa"/>
            <w:tcBorders/>
          </w:tcPr>
          <w:p>
            <w:pPr>
              <w:pStyle w:val="TableContents"/>
              <w:bidi w:val="0"/>
              <w:spacing w:before="0" w:after="283"/>
              <w:jc w:val="left"/>
              <w:rPr/>
            </w:pPr>
            <w:hyperlink r:id="rId17">
              <w:r>
                <w:rPr>
                  <w:rStyle w:val="InternetLink"/>
                </w:rPr>
                <w:t xml:space="preserve">Amended and Restated Certificate of Incorporation of Senti Biosciences Holdings, Inc. </w:t>
              </w:r>
            </w:hyperlink>
          </w:p>
        </w:tc>
        <w:tc>
          <w:tcPr>
            <w:tcW w:w="197"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left"/>
              <w:rPr/>
            </w:pPr>
            <w:r>
              <w:rPr/>
              <w:t> </w:t>
            </w:r>
          </w:p>
        </w:tc>
        <w:tc>
          <w:tcPr>
            <w:tcW w:w="961"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25"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pPr>
            <w:r>
              <w:rPr/>
              <w:t> </w:t>
            </w:r>
          </w:p>
        </w:tc>
        <w:tc>
          <w:tcPr>
            <w:tcW w:w="692" w:type="dxa"/>
            <w:tcBorders/>
          </w:tcPr>
          <w:p>
            <w:pPr>
              <w:pStyle w:val="TableContents"/>
              <w:bidi w:val="0"/>
              <w:spacing w:before="0" w:after="283"/>
              <w:jc w:val="right"/>
              <w:rPr/>
            </w:pPr>
            <w:r>
              <w:rPr/>
              <w:t>3.1</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7" w:type="dxa"/>
            <w:tcBorders/>
          </w:tcPr>
          <w:p>
            <w:pPr>
              <w:pStyle w:val="TableContents"/>
              <w:bidi w:val="0"/>
              <w:spacing w:before="0" w:after="283"/>
              <w:jc w:val="left"/>
              <w:rPr/>
            </w:pPr>
            <w:r>
              <w:rPr/>
              <w:t>April 24, 2026</w:t>
            </w:r>
          </w:p>
        </w:tc>
      </w:tr>
      <w:tr>
        <w:trPr>
          <w:trHeight w:val="120" w:hRule="atLeast"/>
        </w:trPr>
        <w:tc>
          <w:tcPr>
            <w:tcW w:w="604" w:type="dxa"/>
            <w:tcBorders/>
            <w:vAlign w:val="center"/>
          </w:tcPr>
          <w:p>
            <w:pPr>
              <w:pStyle w:val="TableContents"/>
              <w:bidi w:val="0"/>
              <w:spacing w:before="0" w:after="283"/>
              <w:jc w:val="left"/>
              <w:rPr>
                <w:sz w:val="4"/>
                <w:szCs w:val="4"/>
              </w:rPr>
            </w:pPr>
            <w:r>
              <w:rPr>
                <w:sz w:val="4"/>
                <w:szCs w:val="4"/>
              </w:rPr>
            </w:r>
          </w:p>
        </w:tc>
        <w:tc>
          <w:tcPr>
            <w:tcW w:w="4138" w:type="dxa"/>
            <w:gridSpan w:val="2"/>
            <w:tcBorders/>
            <w:vAlign w:val="center"/>
          </w:tcPr>
          <w:p>
            <w:pPr>
              <w:pStyle w:val="TableContents"/>
              <w:bidi w:val="0"/>
              <w:spacing w:before="0" w:after="283"/>
              <w:jc w:val="left"/>
              <w:rPr>
                <w:sz w:val="4"/>
                <w:szCs w:val="4"/>
              </w:rPr>
            </w:pPr>
            <w:r>
              <w:rPr>
                <w:sz w:val="4"/>
                <w:szCs w:val="4"/>
              </w:rPr>
            </w:r>
          </w:p>
        </w:tc>
        <w:tc>
          <w:tcPr>
            <w:tcW w:w="1477" w:type="dxa"/>
            <w:gridSpan w:val="4"/>
            <w:tcBorders/>
            <w:vAlign w:val="center"/>
          </w:tcPr>
          <w:p>
            <w:pPr>
              <w:pStyle w:val="TableContents"/>
              <w:bidi w:val="0"/>
              <w:spacing w:before="0" w:after="283"/>
              <w:jc w:val="left"/>
              <w:rPr>
                <w:sz w:val="4"/>
                <w:szCs w:val="4"/>
              </w:rPr>
            </w:pPr>
            <w:r>
              <w:rPr>
                <w:sz w:val="4"/>
                <w:szCs w:val="4"/>
              </w:rPr>
            </w:r>
          </w:p>
        </w:tc>
        <w:tc>
          <w:tcPr>
            <w:tcW w:w="1242"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674" w:type="dxa"/>
            <w:gridSpan w:val="2"/>
            <w:tcBorders/>
            <w:vAlign w:val="center"/>
          </w:tcPr>
          <w:p>
            <w:pPr>
              <w:pStyle w:val="TableContents"/>
              <w:bidi w:val="0"/>
              <w:spacing w:before="0" w:after="283"/>
              <w:jc w:val="left"/>
              <w:rPr>
                <w:sz w:val="4"/>
                <w:szCs w:val="4"/>
              </w:rPr>
            </w:pPr>
            <w:r>
              <w:rPr>
                <w:sz w:val="4"/>
                <w:szCs w:val="4"/>
              </w:rPr>
            </w:r>
          </w:p>
        </w:tc>
      </w:tr>
      <w:tr>
        <w:trPr/>
        <w:tc>
          <w:tcPr>
            <w:tcW w:w="604" w:type="dxa"/>
            <w:tcBorders/>
          </w:tcPr>
          <w:p>
            <w:pPr>
              <w:pStyle w:val="TableContents"/>
              <w:bidi w:val="0"/>
              <w:spacing w:before="0" w:after="283"/>
              <w:jc w:val="left"/>
              <w:rPr/>
            </w:pPr>
            <w:r>
              <w:rPr/>
              <w:t>3.2</w:t>
            </w:r>
          </w:p>
        </w:tc>
        <w:tc>
          <w:tcPr>
            <w:tcW w:w="309" w:type="dxa"/>
            <w:tcBorders/>
            <w:vAlign w:val="bottom"/>
          </w:tcPr>
          <w:p>
            <w:pPr>
              <w:pStyle w:val="TableContents"/>
              <w:bidi w:val="0"/>
              <w:spacing w:before="0" w:after="283"/>
              <w:jc w:val="left"/>
              <w:rPr/>
            </w:pPr>
            <w:r>
              <w:rPr/>
              <w:t>  </w:t>
            </w:r>
          </w:p>
        </w:tc>
        <w:tc>
          <w:tcPr>
            <w:tcW w:w="3829" w:type="dxa"/>
            <w:tcBorders/>
          </w:tcPr>
          <w:p>
            <w:pPr>
              <w:pStyle w:val="TableContents"/>
              <w:bidi w:val="0"/>
              <w:spacing w:before="0" w:after="283"/>
              <w:jc w:val="left"/>
              <w:rPr/>
            </w:pPr>
            <w:hyperlink r:id="rId18">
              <w:r>
                <w:rPr>
                  <w:rStyle w:val="InternetLink"/>
                </w:rPr>
                <w:t xml:space="preserve">Amended and Restated Bylaws of Senti Biosciences Holdings, Inc. </w:t>
              </w:r>
            </w:hyperlink>
          </w:p>
        </w:tc>
        <w:tc>
          <w:tcPr>
            <w:tcW w:w="197"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left"/>
              <w:rPr/>
            </w:pPr>
            <w:r>
              <w:rPr/>
              <w:t> </w:t>
            </w:r>
          </w:p>
        </w:tc>
        <w:tc>
          <w:tcPr>
            <w:tcW w:w="961"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25"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pPr>
            <w:r>
              <w:rPr/>
              <w:t> </w:t>
            </w:r>
          </w:p>
        </w:tc>
        <w:tc>
          <w:tcPr>
            <w:tcW w:w="692" w:type="dxa"/>
            <w:tcBorders/>
          </w:tcPr>
          <w:p>
            <w:pPr>
              <w:pStyle w:val="TableContents"/>
              <w:bidi w:val="0"/>
              <w:spacing w:before="0" w:after="283"/>
              <w:jc w:val="right"/>
              <w:rPr/>
            </w:pPr>
            <w:r>
              <w:rPr/>
              <w:t>3.2</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7" w:type="dxa"/>
            <w:tcBorders/>
          </w:tcPr>
          <w:p>
            <w:pPr>
              <w:pStyle w:val="TableContents"/>
              <w:bidi w:val="0"/>
              <w:spacing w:before="0" w:after="283"/>
              <w:jc w:val="left"/>
              <w:rPr/>
            </w:pPr>
            <w:r>
              <w:rPr/>
              <w:t>April 24, 2026</w:t>
            </w:r>
          </w:p>
        </w:tc>
      </w:tr>
      <w:tr>
        <w:trPr>
          <w:trHeight w:val="120" w:hRule="atLeast"/>
        </w:trPr>
        <w:tc>
          <w:tcPr>
            <w:tcW w:w="604" w:type="dxa"/>
            <w:tcBorders/>
            <w:vAlign w:val="center"/>
          </w:tcPr>
          <w:p>
            <w:pPr>
              <w:pStyle w:val="TableContents"/>
              <w:bidi w:val="0"/>
              <w:spacing w:before="0" w:after="283"/>
              <w:jc w:val="left"/>
              <w:rPr>
                <w:sz w:val="4"/>
                <w:szCs w:val="4"/>
              </w:rPr>
            </w:pPr>
            <w:r>
              <w:rPr>
                <w:sz w:val="4"/>
                <w:szCs w:val="4"/>
              </w:rPr>
            </w:r>
          </w:p>
        </w:tc>
        <w:tc>
          <w:tcPr>
            <w:tcW w:w="4138" w:type="dxa"/>
            <w:gridSpan w:val="2"/>
            <w:tcBorders/>
            <w:vAlign w:val="center"/>
          </w:tcPr>
          <w:p>
            <w:pPr>
              <w:pStyle w:val="TableContents"/>
              <w:bidi w:val="0"/>
              <w:spacing w:before="0" w:after="283"/>
              <w:jc w:val="left"/>
              <w:rPr>
                <w:sz w:val="4"/>
                <w:szCs w:val="4"/>
              </w:rPr>
            </w:pPr>
            <w:r>
              <w:rPr>
                <w:sz w:val="4"/>
                <w:szCs w:val="4"/>
              </w:rPr>
            </w:r>
          </w:p>
        </w:tc>
        <w:tc>
          <w:tcPr>
            <w:tcW w:w="1477" w:type="dxa"/>
            <w:gridSpan w:val="4"/>
            <w:tcBorders/>
            <w:vAlign w:val="center"/>
          </w:tcPr>
          <w:p>
            <w:pPr>
              <w:pStyle w:val="TableContents"/>
              <w:bidi w:val="0"/>
              <w:spacing w:before="0" w:after="283"/>
              <w:jc w:val="left"/>
              <w:rPr>
                <w:sz w:val="4"/>
                <w:szCs w:val="4"/>
              </w:rPr>
            </w:pPr>
            <w:r>
              <w:rPr>
                <w:sz w:val="4"/>
                <w:szCs w:val="4"/>
              </w:rPr>
            </w:r>
          </w:p>
        </w:tc>
        <w:tc>
          <w:tcPr>
            <w:tcW w:w="1242"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674" w:type="dxa"/>
            <w:gridSpan w:val="2"/>
            <w:tcBorders/>
            <w:vAlign w:val="center"/>
          </w:tcPr>
          <w:p>
            <w:pPr>
              <w:pStyle w:val="TableContents"/>
              <w:bidi w:val="0"/>
              <w:spacing w:before="0" w:after="283"/>
              <w:jc w:val="left"/>
              <w:rPr>
                <w:sz w:val="4"/>
                <w:szCs w:val="4"/>
              </w:rPr>
            </w:pPr>
            <w:r>
              <w:rPr>
                <w:sz w:val="4"/>
                <w:szCs w:val="4"/>
              </w:rPr>
            </w:r>
          </w:p>
        </w:tc>
      </w:tr>
      <w:tr>
        <w:trPr/>
        <w:tc>
          <w:tcPr>
            <w:tcW w:w="604" w:type="dxa"/>
            <w:tcBorders/>
          </w:tcPr>
          <w:p>
            <w:pPr>
              <w:pStyle w:val="TableContents"/>
              <w:bidi w:val="0"/>
              <w:spacing w:before="0" w:after="283"/>
              <w:jc w:val="left"/>
              <w:rPr/>
            </w:pPr>
            <w:r>
              <w:rPr/>
              <w:t>3.3</w:t>
            </w:r>
          </w:p>
        </w:tc>
        <w:tc>
          <w:tcPr>
            <w:tcW w:w="309" w:type="dxa"/>
            <w:tcBorders/>
            <w:vAlign w:val="bottom"/>
          </w:tcPr>
          <w:p>
            <w:pPr>
              <w:pStyle w:val="TableContents"/>
              <w:bidi w:val="0"/>
              <w:spacing w:before="0" w:after="283"/>
              <w:jc w:val="left"/>
              <w:rPr/>
            </w:pPr>
            <w:r>
              <w:rPr/>
              <w:t>  </w:t>
            </w:r>
          </w:p>
        </w:tc>
        <w:tc>
          <w:tcPr>
            <w:tcW w:w="3829" w:type="dxa"/>
            <w:tcBorders/>
          </w:tcPr>
          <w:p>
            <w:pPr>
              <w:pStyle w:val="TableContents"/>
              <w:bidi w:val="0"/>
              <w:spacing w:before="0" w:after="283"/>
              <w:jc w:val="left"/>
              <w:rPr/>
            </w:pPr>
            <w:hyperlink r:id="rId19">
              <w:r>
                <w:rPr>
                  <w:rStyle w:val="InternetLink"/>
                </w:rPr>
                <w:t xml:space="preserve">Certificate of Merger </w:t>
              </w:r>
            </w:hyperlink>
          </w:p>
        </w:tc>
        <w:tc>
          <w:tcPr>
            <w:tcW w:w="197"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left"/>
              <w:rPr/>
            </w:pPr>
            <w:r>
              <w:rPr/>
              <w:t> </w:t>
            </w:r>
          </w:p>
        </w:tc>
        <w:tc>
          <w:tcPr>
            <w:tcW w:w="961"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25"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pPr>
            <w:r>
              <w:rPr/>
              <w:t> </w:t>
            </w:r>
          </w:p>
        </w:tc>
        <w:tc>
          <w:tcPr>
            <w:tcW w:w="692" w:type="dxa"/>
            <w:tcBorders/>
          </w:tcPr>
          <w:p>
            <w:pPr>
              <w:pStyle w:val="TableContents"/>
              <w:bidi w:val="0"/>
              <w:spacing w:before="0" w:after="283"/>
              <w:jc w:val="right"/>
              <w:rPr/>
            </w:pPr>
            <w:r>
              <w:rPr/>
              <w:t>3.3</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7" w:type="dxa"/>
            <w:tcBorders/>
          </w:tcPr>
          <w:p>
            <w:pPr>
              <w:pStyle w:val="TableContents"/>
              <w:bidi w:val="0"/>
              <w:spacing w:before="0" w:after="283"/>
              <w:jc w:val="left"/>
              <w:rPr/>
            </w:pPr>
            <w:r>
              <w:rPr/>
              <w:t>April 24, 2026</w:t>
            </w:r>
          </w:p>
        </w:tc>
      </w:tr>
      <w:tr>
        <w:trPr>
          <w:trHeight w:val="120" w:hRule="atLeast"/>
        </w:trPr>
        <w:tc>
          <w:tcPr>
            <w:tcW w:w="604" w:type="dxa"/>
            <w:tcBorders/>
            <w:vAlign w:val="center"/>
          </w:tcPr>
          <w:p>
            <w:pPr>
              <w:pStyle w:val="TableContents"/>
              <w:bidi w:val="0"/>
              <w:spacing w:before="0" w:after="283"/>
              <w:jc w:val="left"/>
              <w:rPr>
                <w:sz w:val="4"/>
                <w:szCs w:val="4"/>
              </w:rPr>
            </w:pPr>
            <w:r>
              <w:rPr>
                <w:sz w:val="4"/>
                <w:szCs w:val="4"/>
              </w:rPr>
            </w:r>
          </w:p>
        </w:tc>
        <w:tc>
          <w:tcPr>
            <w:tcW w:w="4138" w:type="dxa"/>
            <w:gridSpan w:val="2"/>
            <w:tcBorders/>
            <w:vAlign w:val="center"/>
          </w:tcPr>
          <w:p>
            <w:pPr>
              <w:pStyle w:val="TableContents"/>
              <w:bidi w:val="0"/>
              <w:spacing w:before="0" w:after="283"/>
              <w:jc w:val="left"/>
              <w:rPr>
                <w:sz w:val="4"/>
                <w:szCs w:val="4"/>
              </w:rPr>
            </w:pPr>
            <w:r>
              <w:rPr>
                <w:sz w:val="4"/>
                <w:szCs w:val="4"/>
              </w:rPr>
            </w:r>
          </w:p>
        </w:tc>
        <w:tc>
          <w:tcPr>
            <w:tcW w:w="1477" w:type="dxa"/>
            <w:gridSpan w:val="4"/>
            <w:tcBorders/>
            <w:vAlign w:val="center"/>
          </w:tcPr>
          <w:p>
            <w:pPr>
              <w:pStyle w:val="TableContents"/>
              <w:bidi w:val="0"/>
              <w:spacing w:before="0" w:after="283"/>
              <w:jc w:val="left"/>
              <w:rPr>
                <w:sz w:val="4"/>
                <w:szCs w:val="4"/>
              </w:rPr>
            </w:pPr>
            <w:r>
              <w:rPr>
                <w:sz w:val="4"/>
                <w:szCs w:val="4"/>
              </w:rPr>
            </w:r>
          </w:p>
        </w:tc>
        <w:tc>
          <w:tcPr>
            <w:tcW w:w="1242"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674" w:type="dxa"/>
            <w:gridSpan w:val="2"/>
            <w:tcBorders/>
            <w:vAlign w:val="center"/>
          </w:tcPr>
          <w:p>
            <w:pPr>
              <w:pStyle w:val="TableContents"/>
              <w:bidi w:val="0"/>
              <w:spacing w:before="0" w:after="283"/>
              <w:jc w:val="left"/>
              <w:rPr>
                <w:sz w:val="4"/>
                <w:szCs w:val="4"/>
              </w:rPr>
            </w:pPr>
            <w:r>
              <w:rPr>
                <w:sz w:val="4"/>
                <w:szCs w:val="4"/>
              </w:rPr>
            </w:r>
          </w:p>
        </w:tc>
      </w:tr>
      <w:tr>
        <w:trPr/>
        <w:tc>
          <w:tcPr>
            <w:tcW w:w="604" w:type="dxa"/>
            <w:tcBorders/>
          </w:tcPr>
          <w:p>
            <w:pPr>
              <w:pStyle w:val="TableContents"/>
              <w:bidi w:val="0"/>
              <w:spacing w:before="0" w:after="283"/>
              <w:jc w:val="left"/>
              <w:rPr/>
            </w:pPr>
            <w:r>
              <w:rPr/>
              <w:t>3.4</w:t>
            </w:r>
          </w:p>
        </w:tc>
        <w:tc>
          <w:tcPr>
            <w:tcW w:w="309" w:type="dxa"/>
            <w:tcBorders/>
            <w:vAlign w:val="bottom"/>
          </w:tcPr>
          <w:p>
            <w:pPr>
              <w:pStyle w:val="TableContents"/>
              <w:bidi w:val="0"/>
              <w:spacing w:before="0" w:after="283"/>
              <w:jc w:val="left"/>
              <w:rPr/>
            </w:pPr>
            <w:r>
              <w:rPr/>
              <w:t>  </w:t>
            </w:r>
          </w:p>
        </w:tc>
        <w:tc>
          <w:tcPr>
            <w:tcW w:w="3829" w:type="dxa"/>
            <w:tcBorders/>
          </w:tcPr>
          <w:p>
            <w:pPr>
              <w:pStyle w:val="TableContents"/>
              <w:bidi w:val="0"/>
              <w:spacing w:before="0" w:after="283"/>
              <w:jc w:val="left"/>
              <w:rPr/>
            </w:pPr>
            <w:hyperlink r:id="rId20">
              <w:r>
                <w:rPr>
                  <w:rStyle w:val="InternetLink"/>
                </w:rPr>
                <w:t xml:space="preserve">Amended and Restated Bylaws of Senti Biosciences, Inc. </w:t>
              </w:r>
            </w:hyperlink>
          </w:p>
        </w:tc>
        <w:tc>
          <w:tcPr>
            <w:tcW w:w="197"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left"/>
              <w:rPr/>
            </w:pPr>
            <w:r>
              <w:rPr/>
              <w:t> </w:t>
            </w:r>
          </w:p>
        </w:tc>
        <w:tc>
          <w:tcPr>
            <w:tcW w:w="961"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25"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pPr>
            <w:r>
              <w:rPr/>
              <w:t> </w:t>
            </w:r>
          </w:p>
        </w:tc>
        <w:tc>
          <w:tcPr>
            <w:tcW w:w="692" w:type="dxa"/>
            <w:tcBorders/>
          </w:tcPr>
          <w:p>
            <w:pPr>
              <w:pStyle w:val="TableContents"/>
              <w:bidi w:val="0"/>
              <w:spacing w:before="0" w:after="283"/>
              <w:jc w:val="right"/>
              <w:rPr/>
            </w:pPr>
            <w:r>
              <w:rPr/>
              <w:t>3.2</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7" w:type="dxa"/>
            <w:tcBorders/>
          </w:tcPr>
          <w:p>
            <w:pPr>
              <w:pStyle w:val="TableContents"/>
              <w:bidi w:val="0"/>
              <w:spacing w:before="0" w:after="283"/>
              <w:jc w:val="left"/>
              <w:rPr/>
            </w:pPr>
            <w:r>
              <w:rPr/>
              <w:t>June 15, 2022</w:t>
            </w:r>
          </w:p>
        </w:tc>
      </w:tr>
      <w:tr>
        <w:trPr>
          <w:trHeight w:val="120" w:hRule="atLeast"/>
        </w:trPr>
        <w:tc>
          <w:tcPr>
            <w:tcW w:w="604" w:type="dxa"/>
            <w:tcBorders/>
            <w:vAlign w:val="center"/>
          </w:tcPr>
          <w:p>
            <w:pPr>
              <w:pStyle w:val="TableContents"/>
              <w:bidi w:val="0"/>
              <w:spacing w:before="0" w:after="283"/>
              <w:jc w:val="left"/>
              <w:rPr>
                <w:sz w:val="4"/>
                <w:szCs w:val="4"/>
              </w:rPr>
            </w:pPr>
            <w:r>
              <w:rPr>
                <w:sz w:val="4"/>
                <w:szCs w:val="4"/>
              </w:rPr>
            </w:r>
          </w:p>
        </w:tc>
        <w:tc>
          <w:tcPr>
            <w:tcW w:w="4138" w:type="dxa"/>
            <w:gridSpan w:val="2"/>
            <w:tcBorders/>
            <w:vAlign w:val="center"/>
          </w:tcPr>
          <w:p>
            <w:pPr>
              <w:pStyle w:val="TableContents"/>
              <w:bidi w:val="0"/>
              <w:spacing w:before="0" w:after="283"/>
              <w:jc w:val="left"/>
              <w:rPr>
                <w:sz w:val="4"/>
                <w:szCs w:val="4"/>
              </w:rPr>
            </w:pPr>
            <w:r>
              <w:rPr>
                <w:sz w:val="4"/>
                <w:szCs w:val="4"/>
              </w:rPr>
            </w:r>
          </w:p>
        </w:tc>
        <w:tc>
          <w:tcPr>
            <w:tcW w:w="1477" w:type="dxa"/>
            <w:gridSpan w:val="4"/>
            <w:tcBorders/>
            <w:vAlign w:val="center"/>
          </w:tcPr>
          <w:p>
            <w:pPr>
              <w:pStyle w:val="TableContents"/>
              <w:bidi w:val="0"/>
              <w:spacing w:before="0" w:after="283"/>
              <w:jc w:val="left"/>
              <w:rPr>
                <w:sz w:val="4"/>
                <w:szCs w:val="4"/>
              </w:rPr>
            </w:pPr>
            <w:r>
              <w:rPr>
                <w:sz w:val="4"/>
                <w:szCs w:val="4"/>
              </w:rPr>
            </w:r>
          </w:p>
        </w:tc>
        <w:tc>
          <w:tcPr>
            <w:tcW w:w="1242"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674" w:type="dxa"/>
            <w:gridSpan w:val="2"/>
            <w:tcBorders/>
            <w:vAlign w:val="center"/>
          </w:tcPr>
          <w:p>
            <w:pPr>
              <w:pStyle w:val="TableContents"/>
              <w:bidi w:val="0"/>
              <w:spacing w:before="0" w:after="283"/>
              <w:jc w:val="left"/>
              <w:rPr>
                <w:sz w:val="4"/>
                <w:szCs w:val="4"/>
              </w:rPr>
            </w:pPr>
            <w:r>
              <w:rPr>
                <w:sz w:val="4"/>
                <w:szCs w:val="4"/>
              </w:rPr>
            </w:r>
          </w:p>
        </w:tc>
      </w:tr>
      <w:tr>
        <w:trPr/>
        <w:tc>
          <w:tcPr>
            <w:tcW w:w="604" w:type="dxa"/>
            <w:tcBorders/>
          </w:tcPr>
          <w:p>
            <w:pPr>
              <w:pStyle w:val="TableContents"/>
              <w:bidi w:val="0"/>
              <w:spacing w:before="0" w:after="283"/>
              <w:jc w:val="left"/>
              <w:rPr/>
            </w:pPr>
            <w:r>
              <w:rPr/>
              <w:t>4.1</w:t>
            </w:r>
          </w:p>
        </w:tc>
        <w:tc>
          <w:tcPr>
            <w:tcW w:w="309" w:type="dxa"/>
            <w:tcBorders/>
            <w:vAlign w:val="bottom"/>
          </w:tcPr>
          <w:p>
            <w:pPr>
              <w:pStyle w:val="TableContents"/>
              <w:bidi w:val="0"/>
              <w:spacing w:before="0" w:after="283"/>
              <w:jc w:val="left"/>
              <w:rPr/>
            </w:pPr>
            <w:r>
              <w:rPr/>
              <w:t>  </w:t>
            </w:r>
          </w:p>
        </w:tc>
        <w:tc>
          <w:tcPr>
            <w:tcW w:w="3829" w:type="dxa"/>
            <w:tcBorders/>
          </w:tcPr>
          <w:p>
            <w:pPr>
              <w:pStyle w:val="TableContents"/>
              <w:bidi w:val="0"/>
              <w:spacing w:before="0" w:after="283"/>
              <w:jc w:val="left"/>
              <w:rPr/>
            </w:pPr>
            <w:hyperlink r:id="rId21">
              <w:r>
                <w:rPr>
                  <w:rStyle w:val="InternetLink"/>
                </w:rPr>
                <w:t xml:space="preserve">Specimen Common Stock Certificate </w:t>
              </w:r>
            </w:hyperlink>
          </w:p>
        </w:tc>
        <w:tc>
          <w:tcPr>
            <w:tcW w:w="197"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left"/>
              <w:rPr/>
            </w:pPr>
            <w:r>
              <w:rPr/>
              <w:t> </w:t>
            </w:r>
          </w:p>
        </w:tc>
        <w:tc>
          <w:tcPr>
            <w:tcW w:w="961"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25"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1" w:type="dxa"/>
            <w:tcBorders/>
          </w:tcPr>
          <w:p>
            <w:pPr>
              <w:pStyle w:val="TableContents"/>
              <w:bidi w:val="0"/>
              <w:spacing w:before="0" w:after="283"/>
              <w:jc w:val="left"/>
              <w:rPr/>
            </w:pPr>
            <w:r>
              <w:rPr/>
              <w:t> </w:t>
            </w:r>
          </w:p>
        </w:tc>
        <w:tc>
          <w:tcPr>
            <w:tcW w:w="692" w:type="dxa"/>
            <w:tcBorders/>
          </w:tcPr>
          <w:p>
            <w:pPr>
              <w:pStyle w:val="TableContents"/>
              <w:bidi w:val="0"/>
              <w:spacing w:before="0" w:after="283"/>
              <w:jc w:val="right"/>
              <w:rPr/>
            </w:pPr>
            <w:r>
              <w:rPr/>
              <w:t>4.1</w:t>
            </w:r>
          </w:p>
        </w:tc>
        <w:tc>
          <w:tcPr>
            <w:tcW w:w="60" w:type="dxa"/>
            <w:tcBorders/>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77" w:type="dxa"/>
            <w:tcBorders/>
          </w:tcPr>
          <w:p>
            <w:pPr>
              <w:pStyle w:val="TableContents"/>
              <w:bidi w:val="0"/>
              <w:spacing w:before="0" w:after="283"/>
              <w:jc w:val="left"/>
              <w:rPr/>
            </w:pPr>
            <w:r>
              <w:rPr/>
              <w:t>April 24,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607"/>
        <w:gridCol w:w="275"/>
        <w:gridCol w:w="4039"/>
        <w:gridCol w:w="184"/>
        <w:gridCol w:w="250"/>
        <w:gridCol w:w="934"/>
        <w:gridCol w:w="60"/>
        <w:gridCol w:w="184"/>
        <w:gridCol w:w="60"/>
        <w:gridCol w:w="895"/>
        <w:gridCol w:w="60"/>
        <w:gridCol w:w="184"/>
        <w:gridCol w:w="92"/>
        <w:gridCol w:w="709"/>
        <w:gridCol w:w="60"/>
        <w:gridCol w:w="92"/>
        <w:gridCol w:w="1520"/>
      </w:tblGrid>
      <w:tr>
        <w:trPr/>
        <w:tc>
          <w:tcPr>
            <w:tcW w:w="607"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4039"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607"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4039"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5100" w:type="dxa"/>
            <w:gridSpan w:val="13"/>
            <w:tcBorders/>
            <w:vAlign w:val="bottom"/>
          </w:tcPr>
          <w:p>
            <w:pPr>
              <w:pStyle w:val="TableContents"/>
              <w:bidi w:val="0"/>
              <w:spacing w:before="0" w:after="283"/>
              <w:jc w:val="center"/>
              <w:rPr>
                <w:b/>
              </w:rPr>
            </w:pPr>
            <w:r>
              <w:rPr>
                <w:b/>
              </w:rPr>
              <w:t>Incorporated by Reference</w:t>
            </w:r>
          </w:p>
        </w:tc>
      </w:tr>
      <w:tr>
        <w:trPr/>
        <w:tc>
          <w:tcPr>
            <w:tcW w:w="607"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275" w:type="dxa"/>
            <w:tcBorders/>
            <w:vAlign w:val="bottom"/>
          </w:tcPr>
          <w:p>
            <w:pPr>
              <w:pStyle w:val="TableContents"/>
              <w:bidi w:val="0"/>
              <w:spacing w:before="0" w:after="283"/>
              <w:jc w:val="left"/>
              <w:rPr/>
            </w:pPr>
            <w:r>
              <w:rPr/>
              <w:t>  </w:t>
            </w:r>
          </w:p>
        </w:tc>
        <w:tc>
          <w:tcPr>
            <w:tcW w:w="4039" w:type="dxa"/>
            <w:tcBorders/>
            <w:vAlign w:val="bottom"/>
          </w:tcPr>
          <w:p>
            <w:pPr>
              <w:pStyle w:val="TableContents"/>
              <w:bidi w:val="0"/>
              <w:spacing w:before="0" w:after="283"/>
              <w:jc w:val="center"/>
              <w:rPr>
                <w:b/>
              </w:rPr>
            </w:pPr>
            <w:r>
              <w:rPr>
                <w:b/>
              </w:rPr>
              <w:t>Description</w:t>
            </w:r>
          </w:p>
        </w:tc>
        <w:tc>
          <w:tcPr>
            <w:tcW w:w="184" w:type="dxa"/>
            <w:tcBorders/>
            <w:vAlign w:val="bottom"/>
          </w:tcPr>
          <w:p>
            <w:pPr>
              <w:pStyle w:val="TableContents"/>
              <w:bidi w:val="0"/>
              <w:spacing w:before="0" w:after="283"/>
              <w:jc w:val="left"/>
              <w:rPr/>
            </w:pPr>
            <w:r>
              <w:rPr/>
              <w:t>  </w:t>
            </w:r>
          </w:p>
        </w:tc>
        <w:tc>
          <w:tcPr>
            <w:tcW w:w="1184" w:type="dxa"/>
            <w:gridSpan w:val="2"/>
            <w:tcBorders/>
            <w:vAlign w:val="bottom"/>
          </w:tcPr>
          <w:p>
            <w:pPr>
              <w:pStyle w:val="TableContents"/>
              <w:bidi w:val="0"/>
              <w:spacing w:before="0" w:after="283"/>
              <w:jc w:val="center"/>
              <w:rPr>
                <w:b/>
              </w:rPr>
            </w:pPr>
            <w:r>
              <w:rPr>
                <w:b/>
              </w:rPr>
              <w:t>Schedule/Form</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283"/>
              <w:jc w:val="center"/>
              <w:rPr>
                <w:b/>
              </w:rPr>
            </w:pPr>
            <w:r>
              <w:rPr>
                <w:b/>
              </w:rPr>
              <w:t>File No.</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801" w:type="dxa"/>
            <w:gridSpan w:val="2"/>
            <w:tcBorders/>
            <w:vAlign w:val="bottom"/>
          </w:tcPr>
          <w:p>
            <w:pPr>
              <w:pStyle w:val="TableContents"/>
              <w:bidi w:val="0"/>
              <w:spacing w:before="0" w:after="283"/>
              <w:jc w:val="center"/>
              <w:rPr>
                <w:b/>
              </w:rPr>
            </w:pPr>
            <w:r>
              <w:rPr>
                <w:b/>
              </w:rPr>
              <w:t>Exhibit</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center"/>
              <w:rPr>
                <w:b/>
              </w:rPr>
            </w:pPr>
            <w:r>
              <w:rPr>
                <w:b/>
              </w:rPr>
              <w:t>Filing Date</w:t>
            </w:r>
          </w:p>
        </w:tc>
      </w:tr>
      <w:tr>
        <w:trPr>
          <w:trHeight w:val="120" w:hRule="atLeast"/>
        </w:trPr>
        <w:tc>
          <w:tcPr>
            <w:tcW w:w="607" w:type="dxa"/>
            <w:tcBorders/>
            <w:vAlign w:val="center"/>
          </w:tcPr>
          <w:p>
            <w:pPr>
              <w:pStyle w:val="TableContents"/>
              <w:bidi w:val="0"/>
              <w:spacing w:before="0" w:after="283"/>
              <w:jc w:val="left"/>
              <w:rPr>
                <w:sz w:val="4"/>
                <w:szCs w:val="4"/>
              </w:rPr>
            </w:pPr>
            <w:r>
              <w:rPr>
                <w:sz w:val="4"/>
                <w:szCs w:val="4"/>
              </w:rPr>
            </w:r>
          </w:p>
        </w:tc>
        <w:tc>
          <w:tcPr>
            <w:tcW w:w="4314" w:type="dxa"/>
            <w:gridSpan w:val="2"/>
            <w:tcBorders/>
            <w:vAlign w:val="center"/>
          </w:tcPr>
          <w:p>
            <w:pPr>
              <w:pStyle w:val="TableContents"/>
              <w:bidi w:val="0"/>
              <w:spacing w:before="0" w:after="283"/>
              <w:jc w:val="left"/>
              <w:rPr>
                <w:sz w:val="4"/>
                <w:szCs w:val="4"/>
              </w:rPr>
            </w:pPr>
            <w:r>
              <w:rPr>
                <w:sz w:val="4"/>
                <w:szCs w:val="4"/>
              </w:rPr>
            </w:r>
          </w:p>
        </w:tc>
        <w:tc>
          <w:tcPr>
            <w:tcW w:w="1428" w:type="dxa"/>
            <w:gridSpan w:val="4"/>
            <w:tcBorders/>
            <w:vAlign w:val="center"/>
          </w:tcPr>
          <w:p>
            <w:pPr>
              <w:pStyle w:val="TableContents"/>
              <w:bidi w:val="0"/>
              <w:spacing w:before="0" w:after="283"/>
              <w:jc w:val="left"/>
              <w:rPr>
                <w:sz w:val="4"/>
                <w:szCs w:val="4"/>
              </w:rPr>
            </w:pPr>
            <w:r>
              <w:rPr>
                <w:sz w:val="4"/>
                <w:szCs w:val="4"/>
              </w:rPr>
            </w:r>
          </w:p>
        </w:tc>
        <w:tc>
          <w:tcPr>
            <w:tcW w:w="1199" w:type="dxa"/>
            <w:gridSpan w:val="4"/>
            <w:tcBorders/>
            <w:vAlign w:val="center"/>
          </w:tcPr>
          <w:p>
            <w:pPr>
              <w:pStyle w:val="TableContents"/>
              <w:bidi w:val="0"/>
              <w:spacing w:before="0" w:after="283"/>
              <w:jc w:val="left"/>
              <w:rPr>
                <w:sz w:val="4"/>
                <w:szCs w:val="4"/>
              </w:rPr>
            </w:pPr>
            <w:r>
              <w:rPr>
                <w:sz w:val="4"/>
                <w:szCs w:val="4"/>
              </w:rPr>
            </w:r>
          </w:p>
        </w:tc>
        <w:tc>
          <w:tcPr>
            <w:tcW w:w="1045" w:type="dxa"/>
            <w:gridSpan w:val="4"/>
            <w:tcBorders/>
            <w:vAlign w:val="center"/>
          </w:tcPr>
          <w:p>
            <w:pPr>
              <w:pStyle w:val="TableContents"/>
              <w:bidi w:val="0"/>
              <w:spacing w:before="0" w:after="283"/>
              <w:jc w:val="left"/>
              <w:rPr>
                <w:sz w:val="4"/>
                <w:szCs w:val="4"/>
              </w:rPr>
            </w:pPr>
            <w:r>
              <w:rPr>
                <w:sz w:val="4"/>
                <w:szCs w:val="4"/>
              </w:rPr>
            </w:r>
          </w:p>
        </w:tc>
        <w:tc>
          <w:tcPr>
            <w:tcW w:w="1612"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tcPr>
          <w:p>
            <w:pPr>
              <w:pStyle w:val="TableContents"/>
              <w:bidi w:val="0"/>
              <w:spacing w:before="0" w:after="283"/>
              <w:jc w:val="left"/>
              <w:rPr/>
            </w:pPr>
            <w:r>
              <w:rPr/>
              <w:t>4.2</w:t>
            </w:r>
          </w:p>
        </w:tc>
        <w:tc>
          <w:tcPr>
            <w:tcW w:w="275" w:type="dxa"/>
            <w:tcBorders/>
            <w:vAlign w:val="bottom"/>
          </w:tcPr>
          <w:p>
            <w:pPr>
              <w:pStyle w:val="TableContents"/>
              <w:bidi w:val="0"/>
              <w:spacing w:before="0" w:after="283"/>
              <w:jc w:val="left"/>
              <w:rPr/>
            </w:pPr>
            <w:r>
              <w:rPr/>
              <w:t>  </w:t>
            </w:r>
          </w:p>
        </w:tc>
        <w:tc>
          <w:tcPr>
            <w:tcW w:w="4039" w:type="dxa"/>
            <w:tcBorders/>
          </w:tcPr>
          <w:p>
            <w:pPr>
              <w:pStyle w:val="TableContents"/>
              <w:bidi w:val="0"/>
              <w:spacing w:before="0" w:after="283"/>
              <w:jc w:val="left"/>
              <w:rPr/>
            </w:pPr>
            <w:hyperlink r:id="rId22">
              <w:r>
                <w:rPr>
                  <w:rStyle w:val="InternetLink"/>
                </w:rPr>
                <w:t xml:space="preserve">Form of Senior Secured Convertible Note of Senti Holdings, Inc. </w:t>
              </w:r>
            </w:hyperlink>
          </w:p>
        </w:tc>
        <w:tc>
          <w:tcPr>
            <w:tcW w:w="184" w:type="dxa"/>
            <w:tcBorders/>
            <w:vAlign w:val="bottom"/>
          </w:tcPr>
          <w:p>
            <w:pPr>
              <w:pStyle w:val="TableContents"/>
              <w:bidi w:val="0"/>
              <w:spacing w:before="0" w:after="283"/>
              <w:jc w:val="left"/>
              <w:rPr/>
            </w:pPr>
            <w:r>
              <w:rPr/>
              <w:t>  </w:t>
            </w:r>
          </w:p>
        </w:tc>
        <w:tc>
          <w:tcPr>
            <w:tcW w:w="250" w:type="dxa"/>
            <w:tcBorders/>
          </w:tcPr>
          <w:p>
            <w:pPr>
              <w:pStyle w:val="TableContents"/>
              <w:bidi w:val="0"/>
              <w:spacing w:before="0" w:after="283"/>
              <w:jc w:val="left"/>
              <w:rPr/>
            </w:pPr>
            <w:r>
              <w:rPr/>
              <w:t> </w:t>
            </w:r>
          </w:p>
        </w:tc>
        <w:tc>
          <w:tcPr>
            <w:tcW w:w="934"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95"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09" w:type="dxa"/>
            <w:tcBorders/>
          </w:tcPr>
          <w:p>
            <w:pPr>
              <w:pStyle w:val="TableContents"/>
              <w:bidi w:val="0"/>
              <w:spacing w:before="0" w:after="283"/>
              <w:jc w:val="right"/>
              <w:rPr/>
            </w:pPr>
            <w:r>
              <w:rPr/>
              <w:t>10.2</w:t>
            </w:r>
          </w:p>
        </w:tc>
        <w:tc>
          <w:tcPr>
            <w:tcW w:w="60" w:type="dxa"/>
            <w:tcBorders/>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0" w:type="dxa"/>
            <w:tcBorders/>
          </w:tcPr>
          <w:p>
            <w:pPr>
              <w:pStyle w:val="TableContents"/>
              <w:bidi w:val="0"/>
              <w:spacing w:before="0" w:after="283"/>
              <w:jc w:val="left"/>
              <w:rPr/>
            </w:pPr>
            <w:r>
              <w:rPr/>
              <w:t>May 1, 2026</w:t>
            </w:r>
          </w:p>
        </w:tc>
      </w:tr>
      <w:tr>
        <w:trPr>
          <w:trHeight w:val="120" w:hRule="atLeast"/>
        </w:trPr>
        <w:tc>
          <w:tcPr>
            <w:tcW w:w="607" w:type="dxa"/>
            <w:tcBorders/>
            <w:vAlign w:val="center"/>
          </w:tcPr>
          <w:p>
            <w:pPr>
              <w:pStyle w:val="TableContents"/>
              <w:bidi w:val="0"/>
              <w:spacing w:before="0" w:after="283"/>
              <w:jc w:val="left"/>
              <w:rPr>
                <w:sz w:val="4"/>
                <w:szCs w:val="4"/>
              </w:rPr>
            </w:pPr>
            <w:r>
              <w:rPr>
                <w:sz w:val="4"/>
                <w:szCs w:val="4"/>
              </w:rPr>
            </w:r>
          </w:p>
        </w:tc>
        <w:tc>
          <w:tcPr>
            <w:tcW w:w="4314" w:type="dxa"/>
            <w:gridSpan w:val="2"/>
            <w:tcBorders/>
            <w:vAlign w:val="center"/>
          </w:tcPr>
          <w:p>
            <w:pPr>
              <w:pStyle w:val="TableContents"/>
              <w:bidi w:val="0"/>
              <w:spacing w:before="0" w:after="283"/>
              <w:jc w:val="left"/>
              <w:rPr>
                <w:sz w:val="4"/>
                <w:szCs w:val="4"/>
              </w:rPr>
            </w:pPr>
            <w:r>
              <w:rPr>
                <w:sz w:val="4"/>
                <w:szCs w:val="4"/>
              </w:rPr>
            </w:r>
          </w:p>
        </w:tc>
        <w:tc>
          <w:tcPr>
            <w:tcW w:w="1428" w:type="dxa"/>
            <w:gridSpan w:val="4"/>
            <w:tcBorders/>
            <w:vAlign w:val="center"/>
          </w:tcPr>
          <w:p>
            <w:pPr>
              <w:pStyle w:val="TableContents"/>
              <w:bidi w:val="0"/>
              <w:spacing w:before="0" w:after="283"/>
              <w:jc w:val="left"/>
              <w:rPr>
                <w:sz w:val="4"/>
                <w:szCs w:val="4"/>
              </w:rPr>
            </w:pPr>
            <w:r>
              <w:rPr>
                <w:sz w:val="4"/>
                <w:szCs w:val="4"/>
              </w:rPr>
            </w:r>
          </w:p>
        </w:tc>
        <w:tc>
          <w:tcPr>
            <w:tcW w:w="1199" w:type="dxa"/>
            <w:gridSpan w:val="4"/>
            <w:tcBorders/>
            <w:vAlign w:val="center"/>
          </w:tcPr>
          <w:p>
            <w:pPr>
              <w:pStyle w:val="TableContents"/>
              <w:bidi w:val="0"/>
              <w:spacing w:before="0" w:after="283"/>
              <w:jc w:val="left"/>
              <w:rPr>
                <w:sz w:val="4"/>
                <w:szCs w:val="4"/>
              </w:rPr>
            </w:pPr>
            <w:r>
              <w:rPr>
                <w:sz w:val="4"/>
                <w:szCs w:val="4"/>
              </w:rPr>
            </w:r>
          </w:p>
        </w:tc>
        <w:tc>
          <w:tcPr>
            <w:tcW w:w="1045" w:type="dxa"/>
            <w:gridSpan w:val="4"/>
            <w:tcBorders/>
            <w:vAlign w:val="center"/>
          </w:tcPr>
          <w:p>
            <w:pPr>
              <w:pStyle w:val="TableContents"/>
              <w:bidi w:val="0"/>
              <w:spacing w:before="0" w:after="283"/>
              <w:jc w:val="left"/>
              <w:rPr>
                <w:sz w:val="4"/>
                <w:szCs w:val="4"/>
              </w:rPr>
            </w:pPr>
            <w:r>
              <w:rPr>
                <w:sz w:val="4"/>
                <w:szCs w:val="4"/>
              </w:rPr>
            </w:r>
          </w:p>
        </w:tc>
        <w:tc>
          <w:tcPr>
            <w:tcW w:w="1612"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tcPr>
          <w:p>
            <w:pPr>
              <w:pStyle w:val="TableContents"/>
              <w:bidi w:val="0"/>
              <w:spacing w:before="0" w:after="283"/>
              <w:jc w:val="left"/>
              <w:rPr/>
            </w:pPr>
            <w:r>
              <w:rPr/>
              <w:t>5.1</w:t>
            </w:r>
          </w:p>
        </w:tc>
        <w:tc>
          <w:tcPr>
            <w:tcW w:w="275" w:type="dxa"/>
            <w:tcBorders/>
            <w:vAlign w:val="bottom"/>
          </w:tcPr>
          <w:p>
            <w:pPr>
              <w:pStyle w:val="TableContents"/>
              <w:bidi w:val="0"/>
              <w:spacing w:before="0" w:after="283"/>
              <w:jc w:val="left"/>
              <w:rPr/>
            </w:pPr>
            <w:r>
              <w:rPr/>
              <w:t>  </w:t>
            </w:r>
          </w:p>
        </w:tc>
        <w:tc>
          <w:tcPr>
            <w:tcW w:w="4039" w:type="dxa"/>
            <w:tcBorders/>
          </w:tcPr>
          <w:p>
            <w:pPr>
              <w:pStyle w:val="TableContents"/>
              <w:bidi w:val="0"/>
              <w:spacing w:before="0" w:after="283"/>
              <w:jc w:val="left"/>
              <w:rPr/>
            </w:pPr>
            <w:hyperlink r:id="rId23">
              <w:r>
                <w:rPr>
                  <w:rStyle w:val="InternetLink"/>
                </w:rPr>
                <w:t xml:space="preserve">Opinion of Gunderson Dettmer Stough Villeneuve Franklin &amp; Hachigian, LLP </w:t>
              </w:r>
            </w:hyperlink>
          </w:p>
        </w:tc>
        <w:tc>
          <w:tcPr>
            <w:tcW w:w="184" w:type="dxa"/>
            <w:tcBorders/>
            <w:vAlign w:val="bottom"/>
          </w:tcPr>
          <w:p>
            <w:pPr>
              <w:pStyle w:val="TableContents"/>
              <w:bidi w:val="0"/>
              <w:spacing w:before="0" w:after="283"/>
              <w:jc w:val="left"/>
              <w:rPr/>
            </w:pPr>
            <w:r>
              <w:rPr/>
              <w:t>  </w:t>
            </w:r>
          </w:p>
        </w:tc>
        <w:tc>
          <w:tcPr>
            <w:tcW w:w="250" w:type="dxa"/>
            <w:tcBorders/>
          </w:tcPr>
          <w:p>
            <w:pPr>
              <w:pStyle w:val="TableContents"/>
              <w:bidi w:val="0"/>
              <w:spacing w:before="0" w:after="283"/>
              <w:jc w:val="left"/>
              <w:rPr/>
            </w:pPr>
            <w:r>
              <w:rPr/>
              <w:t> </w:t>
            </w:r>
          </w:p>
        </w:tc>
        <w:tc>
          <w:tcPr>
            <w:tcW w:w="934" w:type="dxa"/>
            <w:tcBorders/>
          </w:tcPr>
          <w:p>
            <w:pPr>
              <w:pStyle w:val="TableContents"/>
              <w:bidi w:val="0"/>
              <w:spacing w:before="0" w:after="283"/>
              <w:jc w:val="right"/>
              <w:rPr/>
            </w:pPr>
            <w:r>
              <w:rPr/>
              <w:t>S-3</w:t>
            </w:r>
          </w:p>
        </w:tc>
        <w:tc>
          <w:tcPr>
            <w:tcW w:w="60" w:type="dxa"/>
            <w:tcBorders/>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95" w:type="dxa"/>
            <w:tcBorders/>
          </w:tcPr>
          <w:p>
            <w:pPr>
              <w:pStyle w:val="TableContents"/>
              <w:bidi w:val="0"/>
              <w:spacing w:before="0" w:after="283"/>
              <w:jc w:val="right"/>
              <w:rPr/>
            </w:pPr>
            <w:r>
              <w:rPr/>
              <w:t>333-296917</w:t>
            </w:r>
          </w:p>
        </w:tc>
        <w:tc>
          <w:tcPr>
            <w:tcW w:w="60" w:type="dxa"/>
            <w:tcBorders/>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09" w:type="dxa"/>
            <w:tcBorders/>
          </w:tcPr>
          <w:p>
            <w:pPr>
              <w:pStyle w:val="TableContents"/>
              <w:bidi w:val="0"/>
              <w:spacing w:before="0" w:after="283"/>
              <w:jc w:val="right"/>
              <w:rPr/>
            </w:pPr>
            <w:r>
              <w:rPr/>
              <w:t>5.1</w:t>
            </w:r>
          </w:p>
        </w:tc>
        <w:tc>
          <w:tcPr>
            <w:tcW w:w="60" w:type="dxa"/>
            <w:tcBorders/>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0" w:type="dxa"/>
            <w:tcBorders/>
          </w:tcPr>
          <w:p>
            <w:pPr>
              <w:pStyle w:val="TableContents"/>
              <w:bidi w:val="0"/>
              <w:spacing w:before="0" w:after="283"/>
              <w:jc w:val="left"/>
              <w:rPr/>
            </w:pPr>
            <w:r>
              <w:rPr/>
              <w:t>June 18, 2026</w:t>
            </w:r>
          </w:p>
        </w:tc>
      </w:tr>
      <w:tr>
        <w:trPr>
          <w:trHeight w:val="120" w:hRule="atLeast"/>
        </w:trPr>
        <w:tc>
          <w:tcPr>
            <w:tcW w:w="607" w:type="dxa"/>
            <w:tcBorders/>
            <w:vAlign w:val="center"/>
          </w:tcPr>
          <w:p>
            <w:pPr>
              <w:pStyle w:val="TableContents"/>
              <w:bidi w:val="0"/>
              <w:spacing w:before="0" w:after="283"/>
              <w:jc w:val="left"/>
              <w:rPr>
                <w:sz w:val="4"/>
                <w:szCs w:val="4"/>
              </w:rPr>
            </w:pPr>
            <w:r>
              <w:rPr>
                <w:sz w:val="4"/>
                <w:szCs w:val="4"/>
              </w:rPr>
            </w:r>
          </w:p>
        </w:tc>
        <w:tc>
          <w:tcPr>
            <w:tcW w:w="4314" w:type="dxa"/>
            <w:gridSpan w:val="2"/>
            <w:tcBorders/>
            <w:vAlign w:val="center"/>
          </w:tcPr>
          <w:p>
            <w:pPr>
              <w:pStyle w:val="TableContents"/>
              <w:bidi w:val="0"/>
              <w:spacing w:before="0" w:after="283"/>
              <w:jc w:val="left"/>
              <w:rPr>
                <w:sz w:val="4"/>
                <w:szCs w:val="4"/>
              </w:rPr>
            </w:pPr>
            <w:r>
              <w:rPr>
                <w:sz w:val="4"/>
                <w:szCs w:val="4"/>
              </w:rPr>
            </w:r>
          </w:p>
        </w:tc>
        <w:tc>
          <w:tcPr>
            <w:tcW w:w="1428" w:type="dxa"/>
            <w:gridSpan w:val="4"/>
            <w:tcBorders/>
            <w:vAlign w:val="center"/>
          </w:tcPr>
          <w:p>
            <w:pPr>
              <w:pStyle w:val="TableContents"/>
              <w:bidi w:val="0"/>
              <w:spacing w:before="0" w:after="283"/>
              <w:jc w:val="left"/>
              <w:rPr>
                <w:sz w:val="4"/>
                <w:szCs w:val="4"/>
              </w:rPr>
            </w:pPr>
            <w:r>
              <w:rPr>
                <w:sz w:val="4"/>
                <w:szCs w:val="4"/>
              </w:rPr>
            </w:r>
          </w:p>
        </w:tc>
        <w:tc>
          <w:tcPr>
            <w:tcW w:w="1199" w:type="dxa"/>
            <w:gridSpan w:val="4"/>
            <w:tcBorders/>
            <w:vAlign w:val="center"/>
          </w:tcPr>
          <w:p>
            <w:pPr>
              <w:pStyle w:val="TableContents"/>
              <w:bidi w:val="0"/>
              <w:spacing w:before="0" w:after="283"/>
              <w:jc w:val="left"/>
              <w:rPr>
                <w:sz w:val="4"/>
                <w:szCs w:val="4"/>
              </w:rPr>
            </w:pPr>
            <w:r>
              <w:rPr>
                <w:sz w:val="4"/>
                <w:szCs w:val="4"/>
              </w:rPr>
            </w:r>
          </w:p>
        </w:tc>
        <w:tc>
          <w:tcPr>
            <w:tcW w:w="1045" w:type="dxa"/>
            <w:gridSpan w:val="4"/>
            <w:tcBorders/>
            <w:vAlign w:val="center"/>
          </w:tcPr>
          <w:p>
            <w:pPr>
              <w:pStyle w:val="TableContents"/>
              <w:bidi w:val="0"/>
              <w:spacing w:before="0" w:after="283"/>
              <w:jc w:val="left"/>
              <w:rPr>
                <w:sz w:val="4"/>
                <w:szCs w:val="4"/>
              </w:rPr>
            </w:pPr>
            <w:r>
              <w:rPr>
                <w:sz w:val="4"/>
                <w:szCs w:val="4"/>
              </w:rPr>
            </w:r>
          </w:p>
        </w:tc>
        <w:tc>
          <w:tcPr>
            <w:tcW w:w="1612"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tcPr>
          <w:p>
            <w:pPr>
              <w:pStyle w:val="TableContents"/>
              <w:bidi w:val="0"/>
              <w:spacing w:before="0" w:after="283"/>
              <w:jc w:val="left"/>
              <w:rPr/>
            </w:pPr>
            <w:r>
              <w:rPr/>
              <w:t>10.1</w:t>
            </w:r>
          </w:p>
        </w:tc>
        <w:tc>
          <w:tcPr>
            <w:tcW w:w="275" w:type="dxa"/>
            <w:tcBorders/>
            <w:vAlign w:val="bottom"/>
          </w:tcPr>
          <w:p>
            <w:pPr>
              <w:pStyle w:val="TableContents"/>
              <w:bidi w:val="0"/>
              <w:spacing w:before="0" w:after="283"/>
              <w:jc w:val="left"/>
              <w:rPr/>
            </w:pPr>
            <w:r>
              <w:rPr/>
              <w:t>  </w:t>
            </w:r>
          </w:p>
        </w:tc>
        <w:tc>
          <w:tcPr>
            <w:tcW w:w="4039" w:type="dxa"/>
            <w:tcBorders/>
          </w:tcPr>
          <w:p>
            <w:pPr>
              <w:pStyle w:val="TableContents"/>
              <w:bidi w:val="0"/>
              <w:spacing w:before="0" w:after="283"/>
              <w:jc w:val="left"/>
              <w:rPr/>
            </w:pPr>
            <w:hyperlink r:id="rId24">
              <w:r>
                <w:rPr>
                  <w:rStyle w:val="InternetLink"/>
                </w:rPr>
                <w:t xml:space="preserve">Securities Purchase Agreement, dated April  27, 2026, by and among Senti Biosciences Holdings, Inc., Senti Holdings, Inc., Senti Biosciences, Inc. and the purchaser named therein </w:t>
              </w:r>
            </w:hyperlink>
          </w:p>
        </w:tc>
        <w:tc>
          <w:tcPr>
            <w:tcW w:w="184" w:type="dxa"/>
            <w:tcBorders/>
            <w:vAlign w:val="bottom"/>
          </w:tcPr>
          <w:p>
            <w:pPr>
              <w:pStyle w:val="TableContents"/>
              <w:bidi w:val="0"/>
              <w:spacing w:before="0" w:after="283"/>
              <w:jc w:val="left"/>
              <w:rPr/>
            </w:pPr>
            <w:r>
              <w:rPr/>
              <w:t>  </w:t>
            </w:r>
          </w:p>
        </w:tc>
        <w:tc>
          <w:tcPr>
            <w:tcW w:w="250" w:type="dxa"/>
            <w:tcBorders/>
          </w:tcPr>
          <w:p>
            <w:pPr>
              <w:pStyle w:val="TableContents"/>
              <w:bidi w:val="0"/>
              <w:spacing w:before="0" w:after="283"/>
              <w:jc w:val="left"/>
              <w:rPr/>
            </w:pPr>
            <w:r>
              <w:rPr/>
              <w:t> </w:t>
            </w:r>
          </w:p>
        </w:tc>
        <w:tc>
          <w:tcPr>
            <w:tcW w:w="934"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95"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09" w:type="dxa"/>
            <w:tcBorders/>
          </w:tcPr>
          <w:p>
            <w:pPr>
              <w:pStyle w:val="TableContents"/>
              <w:bidi w:val="0"/>
              <w:spacing w:before="0" w:after="283"/>
              <w:jc w:val="right"/>
              <w:rPr/>
            </w:pPr>
            <w:r>
              <w:rPr/>
              <w:t>10.1</w:t>
            </w:r>
          </w:p>
        </w:tc>
        <w:tc>
          <w:tcPr>
            <w:tcW w:w="60" w:type="dxa"/>
            <w:tcBorders/>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0" w:type="dxa"/>
            <w:tcBorders/>
          </w:tcPr>
          <w:p>
            <w:pPr>
              <w:pStyle w:val="TableContents"/>
              <w:bidi w:val="0"/>
              <w:spacing w:before="0" w:after="283"/>
              <w:jc w:val="left"/>
              <w:rPr/>
            </w:pPr>
            <w:r>
              <w:rPr/>
              <w:t>May 1, 2026</w:t>
            </w:r>
          </w:p>
        </w:tc>
      </w:tr>
      <w:tr>
        <w:trPr>
          <w:trHeight w:val="120" w:hRule="atLeast"/>
        </w:trPr>
        <w:tc>
          <w:tcPr>
            <w:tcW w:w="607" w:type="dxa"/>
            <w:tcBorders/>
            <w:vAlign w:val="center"/>
          </w:tcPr>
          <w:p>
            <w:pPr>
              <w:pStyle w:val="TableContents"/>
              <w:bidi w:val="0"/>
              <w:spacing w:before="0" w:after="283"/>
              <w:jc w:val="left"/>
              <w:rPr>
                <w:sz w:val="4"/>
                <w:szCs w:val="4"/>
              </w:rPr>
            </w:pPr>
            <w:r>
              <w:rPr>
                <w:sz w:val="4"/>
                <w:szCs w:val="4"/>
              </w:rPr>
            </w:r>
          </w:p>
        </w:tc>
        <w:tc>
          <w:tcPr>
            <w:tcW w:w="4314" w:type="dxa"/>
            <w:gridSpan w:val="2"/>
            <w:tcBorders/>
            <w:vAlign w:val="center"/>
          </w:tcPr>
          <w:p>
            <w:pPr>
              <w:pStyle w:val="TableContents"/>
              <w:bidi w:val="0"/>
              <w:spacing w:before="0" w:after="283"/>
              <w:jc w:val="left"/>
              <w:rPr>
                <w:sz w:val="4"/>
                <w:szCs w:val="4"/>
              </w:rPr>
            </w:pPr>
            <w:r>
              <w:rPr>
                <w:sz w:val="4"/>
                <w:szCs w:val="4"/>
              </w:rPr>
            </w:r>
          </w:p>
        </w:tc>
        <w:tc>
          <w:tcPr>
            <w:tcW w:w="1428" w:type="dxa"/>
            <w:gridSpan w:val="4"/>
            <w:tcBorders/>
            <w:vAlign w:val="center"/>
          </w:tcPr>
          <w:p>
            <w:pPr>
              <w:pStyle w:val="TableContents"/>
              <w:bidi w:val="0"/>
              <w:spacing w:before="0" w:after="283"/>
              <w:jc w:val="left"/>
              <w:rPr>
                <w:sz w:val="4"/>
                <w:szCs w:val="4"/>
              </w:rPr>
            </w:pPr>
            <w:r>
              <w:rPr>
                <w:sz w:val="4"/>
                <w:szCs w:val="4"/>
              </w:rPr>
            </w:r>
          </w:p>
        </w:tc>
        <w:tc>
          <w:tcPr>
            <w:tcW w:w="1199" w:type="dxa"/>
            <w:gridSpan w:val="4"/>
            <w:tcBorders/>
            <w:vAlign w:val="center"/>
          </w:tcPr>
          <w:p>
            <w:pPr>
              <w:pStyle w:val="TableContents"/>
              <w:bidi w:val="0"/>
              <w:spacing w:before="0" w:after="283"/>
              <w:jc w:val="left"/>
              <w:rPr>
                <w:sz w:val="4"/>
                <w:szCs w:val="4"/>
              </w:rPr>
            </w:pPr>
            <w:r>
              <w:rPr>
                <w:sz w:val="4"/>
                <w:szCs w:val="4"/>
              </w:rPr>
            </w:r>
          </w:p>
        </w:tc>
        <w:tc>
          <w:tcPr>
            <w:tcW w:w="1045" w:type="dxa"/>
            <w:gridSpan w:val="4"/>
            <w:tcBorders/>
            <w:vAlign w:val="center"/>
          </w:tcPr>
          <w:p>
            <w:pPr>
              <w:pStyle w:val="TableContents"/>
              <w:bidi w:val="0"/>
              <w:spacing w:before="0" w:after="283"/>
              <w:jc w:val="left"/>
              <w:rPr>
                <w:sz w:val="4"/>
                <w:szCs w:val="4"/>
              </w:rPr>
            </w:pPr>
            <w:r>
              <w:rPr>
                <w:sz w:val="4"/>
                <w:szCs w:val="4"/>
              </w:rPr>
            </w:r>
          </w:p>
        </w:tc>
        <w:tc>
          <w:tcPr>
            <w:tcW w:w="1612"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tcPr>
          <w:p>
            <w:pPr>
              <w:pStyle w:val="TableContents"/>
              <w:bidi w:val="0"/>
              <w:spacing w:before="0" w:after="283"/>
              <w:jc w:val="left"/>
              <w:rPr/>
            </w:pPr>
            <w:r>
              <w:rPr/>
              <w:t>10.2</w:t>
            </w:r>
          </w:p>
        </w:tc>
        <w:tc>
          <w:tcPr>
            <w:tcW w:w="275" w:type="dxa"/>
            <w:tcBorders/>
            <w:vAlign w:val="bottom"/>
          </w:tcPr>
          <w:p>
            <w:pPr>
              <w:pStyle w:val="TableContents"/>
              <w:bidi w:val="0"/>
              <w:spacing w:before="0" w:after="283"/>
              <w:jc w:val="left"/>
              <w:rPr/>
            </w:pPr>
            <w:r>
              <w:rPr/>
              <w:t>  </w:t>
            </w:r>
          </w:p>
        </w:tc>
        <w:tc>
          <w:tcPr>
            <w:tcW w:w="4039" w:type="dxa"/>
            <w:tcBorders/>
          </w:tcPr>
          <w:p>
            <w:pPr>
              <w:pStyle w:val="TableContents"/>
              <w:bidi w:val="0"/>
              <w:spacing w:before="0" w:after="283"/>
              <w:jc w:val="left"/>
              <w:rPr/>
            </w:pPr>
            <w:hyperlink r:id="rId25">
              <w:r>
                <w:rPr>
                  <w:rStyle w:val="InternetLink"/>
                </w:rPr>
                <w:t xml:space="preserve">Form of Guarantee </w:t>
              </w:r>
            </w:hyperlink>
          </w:p>
        </w:tc>
        <w:tc>
          <w:tcPr>
            <w:tcW w:w="184" w:type="dxa"/>
            <w:tcBorders/>
            <w:vAlign w:val="bottom"/>
          </w:tcPr>
          <w:p>
            <w:pPr>
              <w:pStyle w:val="TableContents"/>
              <w:bidi w:val="0"/>
              <w:spacing w:before="0" w:after="283"/>
              <w:jc w:val="left"/>
              <w:rPr/>
            </w:pPr>
            <w:r>
              <w:rPr/>
              <w:t>  </w:t>
            </w:r>
          </w:p>
        </w:tc>
        <w:tc>
          <w:tcPr>
            <w:tcW w:w="250" w:type="dxa"/>
            <w:tcBorders/>
          </w:tcPr>
          <w:p>
            <w:pPr>
              <w:pStyle w:val="TableContents"/>
              <w:bidi w:val="0"/>
              <w:spacing w:before="0" w:after="283"/>
              <w:jc w:val="left"/>
              <w:rPr/>
            </w:pPr>
            <w:r>
              <w:rPr/>
              <w:t> </w:t>
            </w:r>
          </w:p>
        </w:tc>
        <w:tc>
          <w:tcPr>
            <w:tcW w:w="934"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95"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09" w:type="dxa"/>
            <w:tcBorders/>
          </w:tcPr>
          <w:p>
            <w:pPr>
              <w:pStyle w:val="TableContents"/>
              <w:bidi w:val="0"/>
              <w:spacing w:before="0" w:after="283"/>
              <w:jc w:val="right"/>
              <w:rPr/>
            </w:pPr>
            <w:r>
              <w:rPr/>
              <w:t>10.3</w:t>
            </w:r>
          </w:p>
        </w:tc>
        <w:tc>
          <w:tcPr>
            <w:tcW w:w="60" w:type="dxa"/>
            <w:tcBorders/>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0" w:type="dxa"/>
            <w:tcBorders/>
          </w:tcPr>
          <w:p>
            <w:pPr>
              <w:pStyle w:val="TableContents"/>
              <w:bidi w:val="0"/>
              <w:spacing w:before="0" w:after="283"/>
              <w:jc w:val="left"/>
              <w:rPr/>
            </w:pPr>
            <w:r>
              <w:rPr/>
              <w:t>May 1, 2026</w:t>
            </w:r>
          </w:p>
        </w:tc>
      </w:tr>
      <w:tr>
        <w:trPr>
          <w:trHeight w:val="120" w:hRule="atLeast"/>
        </w:trPr>
        <w:tc>
          <w:tcPr>
            <w:tcW w:w="607" w:type="dxa"/>
            <w:tcBorders/>
            <w:vAlign w:val="center"/>
          </w:tcPr>
          <w:p>
            <w:pPr>
              <w:pStyle w:val="TableContents"/>
              <w:bidi w:val="0"/>
              <w:spacing w:before="0" w:after="283"/>
              <w:jc w:val="left"/>
              <w:rPr>
                <w:sz w:val="4"/>
                <w:szCs w:val="4"/>
              </w:rPr>
            </w:pPr>
            <w:r>
              <w:rPr>
                <w:sz w:val="4"/>
                <w:szCs w:val="4"/>
              </w:rPr>
            </w:r>
          </w:p>
        </w:tc>
        <w:tc>
          <w:tcPr>
            <w:tcW w:w="4314" w:type="dxa"/>
            <w:gridSpan w:val="2"/>
            <w:tcBorders/>
            <w:vAlign w:val="center"/>
          </w:tcPr>
          <w:p>
            <w:pPr>
              <w:pStyle w:val="TableContents"/>
              <w:bidi w:val="0"/>
              <w:spacing w:before="0" w:after="283"/>
              <w:jc w:val="left"/>
              <w:rPr>
                <w:sz w:val="4"/>
                <w:szCs w:val="4"/>
              </w:rPr>
            </w:pPr>
            <w:r>
              <w:rPr>
                <w:sz w:val="4"/>
                <w:szCs w:val="4"/>
              </w:rPr>
            </w:r>
          </w:p>
        </w:tc>
        <w:tc>
          <w:tcPr>
            <w:tcW w:w="1428" w:type="dxa"/>
            <w:gridSpan w:val="4"/>
            <w:tcBorders/>
            <w:vAlign w:val="center"/>
          </w:tcPr>
          <w:p>
            <w:pPr>
              <w:pStyle w:val="TableContents"/>
              <w:bidi w:val="0"/>
              <w:spacing w:before="0" w:after="283"/>
              <w:jc w:val="left"/>
              <w:rPr>
                <w:sz w:val="4"/>
                <w:szCs w:val="4"/>
              </w:rPr>
            </w:pPr>
            <w:r>
              <w:rPr>
                <w:sz w:val="4"/>
                <w:szCs w:val="4"/>
              </w:rPr>
            </w:r>
          </w:p>
        </w:tc>
        <w:tc>
          <w:tcPr>
            <w:tcW w:w="1199" w:type="dxa"/>
            <w:gridSpan w:val="4"/>
            <w:tcBorders/>
            <w:vAlign w:val="center"/>
          </w:tcPr>
          <w:p>
            <w:pPr>
              <w:pStyle w:val="TableContents"/>
              <w:bidi w:val="0"/>
              <w:spacing w:before="0" w:after="283"/>
              <w:jc w:val="left"/>
              <w:rPr>
                <w:sz w:val="4"/>
                <w:szCs w:val="4"/>
              </w:rPr>
            </w:pPr>
            <w:r>
              <w:rPr>
                <w:sz w:val="4"/>
                <w:szCs w:val="4"/>
              </w:rPr>
            </w:r>
          </w:p>
        </w:tc>
        <w:tc>
          <w:tcPr>
            <w:tcW w:w="1045" w:type="dxa"/>
            <w:gridSpan w:val="4"/>
            <w:tcBorders/>
            <w:vAlign w:val="center"/>
          </w:tcPr>
          <w:p>
            <w:pPr>
              <w:pStyle w:val="TableContents"/>
              <w:bidi w:val="0"/>
              <w:spacing w:before="0" w:after="283"/>
              <w:jc w:val="left"/>
              <w:rPr>
                <w:sz w:val="4"/>
                <w:szCs w:val="4"/>
              </w:rPr>
            </w:pPr>
            <w:r>
              <w:rPr>
                <w:sz w:val="4"/>
                <w:szCs w:val="4"/>
              </w:rPr>
            </w:r>
          </w:p>
        </w:tc>
        <w:tc>
          <w:tcPr>
            <w:tcW w:w="1612"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tcPr>
          <w:p>
            <w:pPr>
              <w:pStyle w:val="TableContents"/>
              <w:bidi w:val="0"/>
              <w:spacing w:before="0" w:after="283"/>
              <w:jc w:val="left"/>
              <w:rPr/>
            </w:pPr>
            <w:r>
              <w:rPr/>
              <w:t>10.3</w:t>
            </w:r>
          </w:p>
        </w:tc>
        <w:tc>
          <w:tcPr>
            <w:tcW w:w="275" w:type="dxa"/>
            <w:tcBorders/>
            <w:vAlign w:val="bottom"/>
          </w:tcPr>
          <w:p>
            <w:pPr>
              <w:pStyle w:val="TableContents"/>
              <w:bidi w:val="0"/>
              <w:spacing w:before="0" w:after="283"/>
              <w:jc w:val="left"/>
              <w:rPr/>
            </w:pPr>
            <w:r>
              <w:rPr/>
              <w:t>  </w:t>
            </w:r>
          </w:p>
        </w:tc>
        <w:tc>
          <w:tcPr>
            <w:tcW w:w="4039" w:type="dxa"/>
            <w:tcBorders/>
          </w:tcPr>
          <w:p>
            <w:pPr>
              <w:pStyle w:val="TableContents"/>
              <w:bidi w:val="0"/>
              <w:spacing w:before="0" w:after="283"/>
              <w:jc w:val="left"/>
              <w:rPr/>
            </w:pPr>
            <w:hyperlink r:id="rId26">
              <w:r>
                <w:rPr>
                  <w:rStyle w:val="InternetLink"/>
                </w:rPr>
                <w:t xml:space="preserve">Form of Registration Rights Agreement by and among Senti Biosciences Holdings, Inc., Senti Biosciences, Inc. and any investor to be named therein </w:t>
              </w:r>
            </w:hyperlink>
          </w:p>
        </w:tc>
        <w:tc>
          <w:tcPr>
            <w:tcW w:w="184" w:type="dxa"/>
            <w:tcBorders/>
            <w:vAlign w:val="bottom"/>
          </w:tcPr>
          <w:p>
            <w:pPr>
              <w:pStyle w:val="TableContents"/>
              <w:bidi w:val="0"/>
              <w:spacing w:before="0" w:after="283"/>
              <w:jc w:val="left"/>
              <w:rPr/>
            </w:pPr>
            <w:r>
              <w:rPr/>
              <w:t>  </w:t>
            </w:r>
          </w:p>
        </w:tc>
        <w:tc>
          <w:tcPr>
            <w:tcW w:w="250" w:type="dxa"/>
            <w:tcBorders/>
          </w:tcPr>
          <w:p>
            <w:pPr>
              <w:pStyle w:val="TableContents"/>
              <w:bidi w:val="0"/>
              <w:spacing w:before="0" w:after="283"/>
              <w:jc w:val="left"/>
              <w:rPr/>
            </w:pPr>
            <w:r>
              <w:rPr/>
              <w:t> </w:t>
            </w:r>
          </w:p>
        </w:tc>
        <w:tc>
          <w:tcPr>
            <w:tcW w:w="934"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95"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09" w:type="dxa"/>
            <w:tcBorders/>
          </w:tcPr>
          <w:p>
            <w:pPr>
              <w:pStyle w:val="TableContents"/>
              <w:bidi w:val="0"/>
              <w:spacing w:before="0" w:after="283"/>
              <w:jc w:val="right"/>
              <w:rPr/>
            </w:pPr>
            <w:r>
              <w:rPr/>
              <w:t>10.4</w:t>
            </w:r>
          </w:p>
        </w:tc>
        <w:tc>
          <w:tcPr>
            <w:tcW w:w="60" w:type="dxa"/>
            <w:tcBorders/>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0" w:type="dxa"/>
            <w:tcBorders/>
          </w:tcPr>
          <w:p>
            <w:pPr>
              <w:pStyle w:val="TableContents"/>
              <w:bidi w:val="0"/>
              <w:spacing w:before="0" w:after="283"/>
              <w:jc w:val="left"/>
              <w:rPr/>
            </w:pPr>
            <w:r>
              <w:rPr/>
              <w:t>May 1, 2026</w:t>
            </w:r>
          </w:p>
        </w:tc>
      </w:tr>
      <w:tr>
        <w:trPr>
          <w:trHeight w:val="120" w:hRule="atLeast"/>
        </w:trPr>
        <w:tc>
          <w:tcPr>
            <w:tcW w:w="607" w:type="dxa"/>
            <w:tcBorders/>
            <w:vAlign w:val="center"/>
          </w:tcPr>
          <w:p>
            <w:pPr>
              <w:pStyle w:val="TableContents"/>
              <w:bidi w:val="0"/>
              <w:spacing w:before="0" w:after="283"/>
              <w:jc w:val="left"/>
              <w:rPr>
                <w:sz w:val="4"/>
                <w:szCs w:val="4"/>
              </w:rPr>
            </w:pPr>
            <w:r>
              <w:rPr>
                <w:sz w:val="4"/>
                <w:szCs w:val="4"/>
              </w:rPr>
            </w:r>
          </w:p>
        </w:tc>
        <w:tc>
          <w:tcPr>
            <w:tcW w:w="4314" w:type="dxa"/>
            <w:gridSpan w:val="2"/>
            <w:tcBorders/>
            <w:vAlign w:val="center"/>
          </w:tcPr>
          <w:p>
            <w:pPr>
              <w:pStyle w:val="TableContents"/>
              <w:bidi w:val="0"/>
              <w:spacing w:before="0" w:after="283"/>
              <w:jc w:val="left"/>
              <w:rPr>
                <w:sz w:val="4"/>
                <w:szCs w:val="4"/>
              </w:rPr>
            </w:pPr>
            <w:r>
              <w:rPr>
                <w:sz w:val="4"/>
                <w:szCs w:val="4"/>
              </w:rPr>
            </w:r>
          </w:p>
        </w:tc>
        <w:tc>
          <w:tcPr>
            <w:tcW w:w="1428" w:type="dxa"/>
            <w:gridSpan w:val="4"/>
            <w:tcBorders/>
            <w:vAlign w:val="center"/>
          </w:tcPr>
          <w:p>
            <w:pPr>
              <w:pStyle w:val="TableContents"/>
              <w:bidi w:val="0"/>
              <w:spacing w:before="0" w:after="283"/>
              <w:jc w:val="left"/>
              <w:rPr>
                <w:sz w:val="4"/>
                <w:szCs w:val="4"/>
              </w:rPr>
            </w:pPr>
            <w:r>
              <w:rPr>
                <w:sz w:val="4"/>
                <w:szCs w:val="4"/>
              </w:rPr>
            </w:r>
          </w:p>
        </w:tc>
        <w:tc>
          <w:tcPr>
            <w:tcW w:w="1199" w:type="dxa"/>
            <w:gridSpan w:val="4"/>
            <w:tcBorders/>
            <w:vAlign w:val="center"/>
          </w:tcPr>
          <w:p>
            <w:pPr>
              <w:pStyle w:val="TableContents"/>
              <w:bidi w:val="0"/>
              <w:spacing w:before="0" w:after="283"/>
              <w:jc w:val="left"/>
              <w:rPr>
                <w:sz w:val="4"/>
                <w:szCs w:val="4"/>
              </w:rPr>
            </w:pPr>
            <w:r>
              <w:rPr>
                <w:sz w:val="4"/>
                <w:szCs w:val="4"/>
              </w:rPr>
            </w:r>
          </w:p>
        </w:tc>
        <w:tc>
          <w:tcPr>
            <w:tcW w:w="1045" w:type="dxa"/>
            <w:gridSpan w:val="4"/>
            <w:tcBorders/>
            <w:vAlign w:val="center"/>
          </w:tcPr>
          <w:p>
            <w:pPr>
              <w:pStyle w:val="TableContents"/>
              <w:bidi w:val="0"/>
              <w:spacing w:before="0" w:after="283"/>
              <w:jc w:val="left"/>
              <w:rPr>
                <w:sz w:val="4"/>
                <w:szCs w:val="4"/>
              </w:rPr>
            </w:pPr>
            <w:r>
              <w:rPr>
                <w:sz w:val="4"/>
                <w:szCs w:val="4"/>
              </w:rPr>
            </w:r>
          </w:p>
        </w:tc>
        <w:tc>
          <w:tcPr>
            <w:tcW w:w="1612"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tcPr>
          <w:p>
            <w:pPr>
              <w:pStyle w:val="TableContents"/>
              <w:bidi w:val="0"/>
              <w:spacing w:before="0" w:after="283"/>
              <w:jc w:val="left"/>
              <w:rPr/>
            </w:pPr>
            <w:r>
              <w:rPr/>
              <w:t>10.4</w:t>
            </w:r>
          </w:p>
        </w:tc>
        <w:tc>
          <w:tcPr>
            <w:tcW w:w="275" w:type="dxa"/>
            <w:tcBorders/>
            <w:vAlign w:val="bottom"/>
          </w:tcPr>
          <w:p>
            <w:pPr>
              <w:pStyle w:val="TableContents"/>
              <w:bidi w:val="0"/>
              <w:spacing w:before="0" w:after="283"/>
              <w:jc w:val="left"/>
              <w:rPr/>
            </w:pPr>
            <w:r>
              <w:rPr/>
              <w:t>  </w:t>
            </w:r>
          </w:p>
        </w:tc>
        <w:tc>
          <w:tcPr>
            <w:tcW w:w="4039" w:type="dxa"/>
            <w:tcBorders/>
          </w:tcPr>
          <w:p>
            <w:pPr>
              <w:pStyle w:val="TableContents"/>
              <w:bidi w:val="0"/>
              <w:spacing w:before="0" w:after="283"/>
              <w:jc w:val="left"/>
              <w:rPr/>
            </w:pPr>
            <w:hyperlink r:id="rId27">
              <w:r>
                <w:rPr>
                  <w:rStyle w:val="InternetLink"/>
                </w:rPr>
                <w:t xml:space="preserve">Form of Voting Agreement by and among Senti Biosciences Holdings, Inc., Senti Biosciences, Inc. and the stockholders to be party thereto </w:t>
              </w:r>
            </w:hyperlink>
          </w:p>
        </w:tc>
        <w:tc>
          <w:tcPr>
            <w:tcW w:w="184" w:type="dxa"/>
            <w:tcBorders/>
            <w:vAlign w:val="bottom"/>
          </w:tcPr>
          <w:p>
            <w:pPr>
              <w:pStyle w:val="TableContents"/>
              <w:bidi w:val="0"/>
              <w:spacing w:before="0" w:after="283"/>
              <w:jc w:val="left"/>
              <w:rPr/>
            </w:pPr>
            <w:r>
              <w:rPr/>
              <w:t>  </w:t>
            </w:r>
          </w:p>
        </w:tc>
        <w:tc>
          <w:tcPr>
            <w:tcW w:w="250" w:type="dxa"/>
            <w:tcBorders/>
          </w:tcPr>
          <w:p>
            <w:pPr>
              <w:pStyle w:val="TableContents"/>
              <w:bidi w:val="0"/>
              <w:spacing w:before="0" w:after="283"/>
              <w:jc w:val="left"/>
              <w:rPr/>
            </w:pPr>
            <w:r>
              <w:rPr/>
              <w:t> </w:t>
            </w:r>
          </w:p>
        </w:tc>
        <w:tc>
          <w:tcPr>
            <w:tcW w:w="934"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95"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09" w:type="dxa"/>
            <w:tcBorders/>
          </w:tcPr>
          <w:p>
            <w:pPr>
              <w:pStyle w:val="TableContents"/>
              <w:bidi w:val="0"/>
              <w:spacing w:before="0" w:after="283"/>
              <w:jc w:val="right"/>
              <w:rPr/>
            </w:pPr>
            <w:r>
              <w:rPr/>
              <w:t>10.5</w:t>
            </w:r>
          </w:p>
        </w:tc>
        <w:tc>
          <w:tcPr>
            <w:tcW w:w="60" w:type="dxa"/>
            <w:tcBorders/>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0" w:type="dxa"/>
            <w:tcBorders/>
          </w:tcPr>
          <w:p>
            <w:pPr>
              <w:pStyle w:val="TableContents"/>
              <w:bidi w:val="0"/>
              <w:spacing w:before="0" w:after="283"/>
              <w:jc w:val="left"/>
              <w:rPr/>
            </w:pPr>
            <w:r>
              <w:rPr/>
              <w:t>May 1, 2026</w:t>
            </w:r>
          </w:p>
        </w:tc>
      </w:tr>
      <w:tr>
        <w:trPr>
          <w:trHeight w:val="120" w:hRule="atLeast"/>
        </w:trPr>
        <w:tc>
          <w:tcPr>
            <w:tcW w:w="607" w:type="dxa"/>
            <w:tcBorders/>
            <w:vAlign w:val="center"/>
          </w:tcPr>
          <w:p>
            <w:pPr>
              <w:pStyle w:val="TableContents"/>
              <w:bidi w:val="0"/>
              <w:spacing w:before="0" w:after="283"/>
              <w:jc w:val="left"/>
              <w:rPr>
                <w:sz w:val="4"/>
                <w:szCs w:val="4"/>
              </w:rPr>
            </w:pPr>
            <w:r>
              <w:rPr>
                <w:sz w:val="4"/>
                <w:szCs w:val="4"/>
              </w:rPr>
            </w:r>
          </w:p>
        </w:tc>
        <w:tc>
          <w:tcPr>
            <w:tcW w:w="4314" w:type="dxa"/>
            <w:gridSpan w:val="2"/>
            <w:tcBorders/>
            <w:vAlign w:val="center"/>
          </w:tcPr>
          <w:p>
            <w:pPr>
              <w:pStyle w:val="TableContents"/>
              <w:bidi w:val="0"/>
              <w:spacing w:before="0" w:after="283"/>
              <w:jc w:val="left"/>
              <w:rPr>
                <w:sz w:val="4"/>
                <w:szCs w:val="4"/>
              </w:rPr>
            </w:pPr>
            <w:r>
              <w:rPr>
                <w:sz w:val="4"/>
                <w:szCs w:val="4"/>
              </w:rPr>
            </w:r>
          </w:p>
        </w:tc>
        <w:tc>
          <w:tcPr>
            <w:tcW w:w="1428" w:type="dxa"/>
            <w:gridSpan w:val="4"/>
            <w:tcBorders/>
            <w:vAlign w:val="center"/>
          </w:tcPr>
          <w:p>
            <w:pPr>
              <w:pStyle w:val="TableContents"/>
              <w:bidi w:val="0"/>
              <w:spacing w:before="0" w:after="283"/>
              <w:jc w:val="left"/>
              <w:rPr>
                <w:sz w:val="4"/>
                <w:szCs w:val="4"/>
              </w:rPr>
            </w:pPr>
            <w:r>
              <w:rPr>
                <w:sz w:val="4"/>
                <w:szCs w:val="4"/>
              </w:rPr>
            </w:r>
          </w:p>
        </w:tc>
        <w:tc>
          <w:tcPr>
            <w:tcW w:w="1199" w:type="dxa"/>
            <w:gridSpan w:val="4"/>
            <w:tcBorders/>
            <w:vAlign w:val="center"/>
          </w:tcPr>
          <w:p>
            <w:pPr>
              <w:pStyle w:val="TableContents"/>
              <w:bidi w:val="0"/>
              <w:spacing w:before="0" w:after="283"/>
              <w:jc w:val="left"/>
              <w:rPr>
                <w:sz w:val="4"/>
                <w:szCs w:val="4"/>
              </w:rPr>
            </w:pPr>
            <w:r>
              <w:rPr>
                <w:sz w:val="4"/>
                <w:szCs w:val="4"/>
              </w:rPr>
            </w:r>
          </w:p>
        </w:tc>
        <w:tc>
          <w:tcPr>
            <w:tcW w:w="1045" w:type="dxa"/>
            <w:gridSpan w:val="4"/>
            <w:tcBorders/>
            <w:vAlign w:val="center"/>
          </w:tcPr>
          <w:p>
            <w:pPr>
              <w:pStyle w:val="TableContents"/>
              <w:bidi w:val="0"/>
              <w:spacing w:before="0" w:after="283"/>
              <w:jc w:val="left"/>
              <w:rPr>
                <w:sz w:val="4"/>
                <w:szCs w:val="4"/>
              </w:rPr>
            </w:pPr>
            <w:r>
              <w:rPr>
                <w:sz w:val="4"/>
                <w:szCs w:val="4"/>
              </w:rPr>
            </w:r>
          </w:p>
        </w:tc>
        <w:tc>
          <w:tcPr>
            <w:tcW w:w="1612"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tcPr>
          <w:p>
            <w:pPr>
              <w:pStyle w:val="TableContents"/>
              <w:bidi w:val="0"/>
              <w:spacing w:before="0" w:after="283"/>
              <w:jc w:val="left"/>
              <w:rPr/>
            </w:pPr>
            <w:r>
              <w:rPr/>
              <w:t>10.5</w:t>
            </w:r>
          </w:p>
        </w:tc>
        <w:tc>
          <w:tcPr>
            <w:tcW w:w="275" w:type="dxa"/>
            <w:tcBorders/>
            <w:vAlign w:val="bottom"/>
          </w:tcPr>
          <w:p>
            <w:pPr>
              <w:pStyle w:val="TableContents"/>
              <w:bidi w:val="0"/>
              <w:spacing w:before="0" w:after="283"/>
              <w:jc w:val="left"/>
              <w:rPr/>
            </w:pPr>
            <w:r>
              <w:rPr/>
              <w:t>  </w:t>
            </w:r>
          </w:p>
        </w:tc>
        <w:tc>
          <w:tcPr>
            <w:tcW w:w="4039" w:type="dxa"/>
            <w:tcBorders/>
          </w:tcPr>
          <w:p>
            <w:pPr>
              <w:pStyle w:val="TableContents"/>
              <w:bidi w:val="0"/>
              <w:spacing w:before="0" w:after="283"/>
              <w:jc w:val="left"/>
              <w:rPr/>
            </w:pPr>
            <w:hyperlink r:id="rId28">
              <w:r>
                <w:rPr>
                  <w:rStyle w:val="InternetLink"/>
                </w:rPr>
                <w:t xml:space="preserve">Amended and Restated Designation Agreement, dated as of April  24, 2026, by and among Senti Biosciences Holdings, Inc., Senti Biosciences, Inc. and Celadon Partners SPV 24 </w:t>
              </w:r>
            </w:hyperlink>
          </w:p>
        </w:tc>
        <w:tc>
          <w:tcPr>
            <w:tcW w:w="184" w:type="dxa"/>
            <w:tcBorders/>
            <w:vAlign w:val="bottom"/>
          </w:tcPr>
          <w:p>
            <w:pPr>
              <w:pStyle w:val="TableContents"/>
              <w:bidi w:val="0"/>
              <w:spacing w:before="0" w:after="283"/>
              <w:jc w:val="left"/>
              <w:rPr/>
            </w:pPr>
            <w:r>
              <w:rPr/>
              <w:t>  </w:t>
            </w:r>
          </w:p>
        </w:tc>
        <w:tc>
          <w:tcPr>
            <w:tcW w:w="250" w:type="dxa"/>
            <w:tcBorders/>
          </w:tcPr>
          <w:p>
            <w:pPr>
              <w:pStyle w:val="TableContents"/>
              <w:bidi w:val="0"/>
              <w:spacing w:before="0" w:after="283"/>
              <w:jc w:val="left"/>
              <w:rPr/>
            </w:pPr>
            <w:r>
              <w:rPr/>
              <w:t> </w:t>
            </w:r>
          </w:p>
        </w:tc>
        <w:tc>
          <w:tcPr>
            <w:tcW w:w="934"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95"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09" w:type="dxa"/>
            <w:tcBorders/>
          </w:tcPr>
          <w:p>
            <w:pPr>
              <w:pStyle w:val="TableContents"/>
              <w:bidi w:val="0"/>
              <w:spacing w:before="0" w:after="283"/>
              <w:jc w:val="right"/>
              <w:rPr/>
            </w:pPr>
            <w:r>
              <w:rPr/>
              <w:t>10.1</w:t>
            </w:r>
          </w:p>
        </w:tc>
        <w:tc>
          <w:tcPr>
            <w:tcW w:w="60" w:type="dxa"/>
            <w:tcBorders/>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0" w:type="dxa"/>
            <w:tcBorders/>
          </w:tcPr>
          <w:p>
            <w:pPr>
              <w:pStyle w:val="TableContents"/>
              <w:bidi w:val="0"/>
              <w:spacing w:before="0" w:after="283"/>
              <w:jc w:val="left"/>
              <w:rPr/>
            </w:pPr>
            <w:r>
              <w:rPr/>
              <w:t>April 24, 2026</w:t>
            </w:r>
          </w:p>
        </w:tc>
      </w:tr>
      <w:tr>
        <w:trPr>
          <w:trHeight w:val="120" w:hRule="atLeast"/>
        </w:trPr>
        <w:tc>
          <w:tcPr>
            <w:tcW w:w="607" w:type="dxa"/>
            <w:tcBorders/>
            <w:vAlign w:val="center"/>
          </w:tcPr>
          <w:p>
            <w:pPr>
              <w:pStyle w:val="TableContents"/>
              <w:bidi w:val="0"/>
              <w:spacing w:before="0" w:after="283"/>
              <w:jc w:val="left"/>
              <w:rPr>
                <w:sz w:val="4"/>
                <w:szCs w:val="4"/>
              </w:rPr>
            </w:pPr>
            <w:r>
              <w:rPr>
                <w:sz w:val="4"/>
                <w:szCs w:val="4"/>
              </w:rPr>
            </w:r>
          </w:p>
        </w:tc>
        <w:tc>
          <w:tcPr>
            <w:tcW w:w="4314" w:type="dxa"/>
            <w:gridSpan w:val="2"/>
            <w:tcBorders/>
            <w:vAlign w:val="center"/>
          </w:tcPr>
          <w:p>
            <w:pPr>
              <w:pStyle w:val="TableContents"/>
              <w:bidi w:val="0"/>
              <w:spacing w:before="0" w:after="283"/>
              <w:jc w:val="left"/>
              <w:rPr>
                <w:sz w:val="4"/>
                <w:szCs w:val="4"/>
              </w:rPr>
            </w:pPr>
            <w:r>
              <w:rPr>
                <w:sz w:val="4"/>
                <w:szCs w:val="4"/>
              </w:rPr>
            </w:r>
          </w:p>
        </w:tc>
        <w:tc>
          <w:tcPr>
            <w:tcW w:w="1428" w:type="dxa"/>
            <w:gridSpan w:val="4"/>
            <w:tcBorders/>
            <w:vAlign w:val="center"/>
          </w:tcPr>
          <w:p>
            <w:pPr>
              <w:pStyle w:val="TableContents"/>
              <w:bidi w:val="0"/>
              <w:spacing w:before="0" w:after="283"/>
              <w:jc w:val="left"/>
              <w:rPr>
                <w:sz w:val="4"/>
                <w:szCs w:val="4"/>
              </w:rPr>
            </w:pPr>
            <w:r>
              <w:rPr>
                <w:sz w:val="4"/>
                <w:szCs w:val="4"/>
              </w:rPr>
            </w:r>
          </w:p>
        </w:tc>
        <w:tc>
          <w:tcPr>
            <w:tcW w:w="1199" w:type="dxa"/>
            <w:gridSpan w:val="4"/>
            <w:tcBorders/>
            <w:vAlign w:val="center"/>
          </w:tcPr>
          <w:p>
            <w:pPr>
              <w:pStyle w:val="TableContents"/>
              <w:bidi w:val="0"/>
              <w:spacing w:before="0" w:after="283"/>
              <w:jc w:val="left"/>
              <w:rPr>
                <w:sz w:val="4"/>
                <w:szCs w:val="4"/>
              </w:rPr>
            </w:pPr>
            <w:r>
              <w:rPr>
                <w:sz w:val="4"/>
                <w:szCs w:val="4"/>
              </w:rPr>
            </w:r>
          </w:p>
        </w:tc>
        <w:tc>
          <w:tcPr>
            <w:tcW w:w="1045" w:type="dxa"/>
            <w:gridSpan w:val="4"/>
            <w:tcBorders/>
            <w:vAlign w:val="center"/>
          </w:tcPr>
          <w:p>
            <w:pPr>
              <w:pStyle w:val="TableContents"/>
              <w:bidi w:val="0"/>
              <w:spacing w:before="0" w:after="283"/>
              <w:jc w:val="left"/>
              <w:rPr>
                <w:sz w:val="4"/>
                <w:szCs w:val="4"/>
              </w:rPr>
            </w:pPr>
            <w:r>
              <w:rPr>
                <w:sz w:val="4"/>
                <w:szCs w:val="4"/>
              </w:rPr>
            </w:r>
          </w:p>
        </w:tc>
        <w:tc>
          <w:tcPr>
            <w:tcW w:w="1612"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tcPr>
          <w:p>
            <w:pPr>
              <w:pStyle w:val="TableContents"/>
              <w:bidi w:val="0"/>
              <w:spacing w:before="0" w:after="283"/>
              <w:jc w:val="left"/>
              <w:rPr/>
            </w:pPr>
            <w:r>
              <w:rPr/>
              <w:t>10.6^</w:t>
            </w:r>
          </w:p>
        </w:tc>
        <w:tc>
          <w:tcPr>
            <w:tcW w:w="275" w:type="dxa"/>
            <w:tcBorders/>
            <w:vAlign w:val="bottom"/>
          </w:tcPr>
          <w:p>
            <w:pPr>
              <w:pStyle w:val="TableContents"/>
              <w:bidi w:val="0"/>
              <w:spacing w:before="0" w:after="283"/>
              <w:jc w:val="left"/>
              <w:rPr/>
            </w:pPr>
            <w:r>
              <w:rPr/>
              <w:t>  </w:t>
            </w:r>
          </w:p>
        </w:tc>
        <w:tc>
          <w:tcPr>
            <w:tcW w:w="4039" w:type="dxa"/>
            <w:tcBorders/>
          </w:tcPr>
          <w:p>
            <w:pPr>
              <w:pStyle w:val="TableContents"/>
              <w:bidi w:val="0"/>
              <w:spacing w:before="0" w:after="283"/>
              <w:jc w:val="left"/>
              <w:rPr/>
            </w:pPr>
            <w:hyperlink r:id="rId29">
              <w:r>
                <w:rPr>
                  <w:rStyle w:val="InternetLink"/>
                </w:rPr>
                <w:t xml:space="preserve">Agreement and Plan of Merger, dated as of July  14, 2026, by and among Senti Biosciences Holdings, Inc., Senti Holdings, Inc., Senti Biosciences, Inc., Celadon Partners SPV 35 Limited and Senti Merger Sub, Inc. </w:t>
              </w:r>
            </w:hyperlink>
          </w:p>
        </w:tc>
        <w:tc>
          <w:tcPr>
            <w:tcW w:w="184" w:type="dxa"/>
            <w:tcBorders/>
            <w:vAlign w:val="bottom"/>
          </w:tcPr>
          <w:p>
            <w:pPr>
              <w:pStyle w:val="TableContents"/>
              <w:bidi w:val="0"/>
              <w:spacing w:before="0" w:after="283"/>
              <w:jc w:val="left"/>
              <w:rPr/>
            </w:pPr>
            <w:r>
              <w:rPr/>
              <w:t>  </w:t>
            </w:r>
          </w:p>
        </w:tc>
        <w:tc>
          <w:tcPr>
            <w:tcW w:w="250" w:type="dxa"/>
            <w:tcBorders/>
          </w:tcPr>
          <w:p>
            <w:pPr>
              <w:pStyle w:val="TableContents"/>
              <w:bidi w:val="0"/>
              <w:spacing w:before="0" w:after="283"/>
              <w:jc w:val="left"/>
              <w:rPr/>
            </w:pPr>
            <w:r>
              <w:rPr/>
              <w:t> </w:t>
            </w:r>
          </w:p>
        </w:tc>
        <w:tc>
          <w:tcPr>
            <w:tcW w:w="934"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95"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09" w:type="dxa"/>
            <w:tcBorders/>
          </w:tcPr>
          <w:p>
            <w:pPr>
              <w:pStyle w:val="TableContents"/>
              <w:bidi w:val="0"/>
              <w:spacing w:before="0" w:after="283"/>
              <w:jc w:val="right"/>
              <w:rPr/>
            </w:pPr>
            <w:r>
              <w:rPr/>
              <w:t>2.1</w:t>
            </w:r>
          </w:p>
        </w:tc>
        <w:tc>
          <w:tcPr>
            <w:tcW w:w="60" w:type="dxa"/>
            <w:tcBorders/>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0" w:type="dxa"/>
            <w:tcBorders/>
          </w:tcPr>
          <w:p>
            <w:pPr>
              <w:pStyle w:val="TableContents"/>
              <w:bidi w:val="0"/>
              <w:spacing w:before="0" w:after="283"/>
              <w:jc w:val="left"/>
              <w:rPr/>
            </w:pPr>
            <w:r>
              <w:rPr/>
              <w:t>July 15, 2026</w:t>
            </w:r>
          </w:p>
        </w:tc>
      </w:tr>
      <w:tr>
        <w:trPr>
          <w:trHeight w:val="120" w:hRule="atLeast"/>
        </w:trPr>
        <w:tc>
          <w:tcPr>
            <w:tcW w:w="607" w:type="dxa"/>
            <w:tcBorders/>
            <w:vAlign w:val="center"/>
          </w:tcPr>
          <w:p>
            <w:pPr>
              <w:pStyle w:val="TableContents"/>
              <w:bidi w:val="0"/>
              <w:spacing w:before="0" w:after="283"/>
              <w:jc w:val="left"/>
              <w:rPr>
                <w:sz w:val="4"/>
                <w:szCs w:val="4"/>
              </w:rPr>
            </w:pPr>
            <w:r>
              <w:rPr>
                <w:sz w:val="4"/>
                <w:szCs w:val="4"/>
              </w:rPr>
            </w:r>
          </w:p>
        </w:tc>
        <w:tc>
          <w:tcPr>
            <w:tcW w:w="4314" w:type="dxa"/>
            <w:gridSpan w:val="2"/>
            <w:tcBorders/>
            <w:vAlign w:val="center"/>
          </w:tcPr>
          <w:p>
            <w:pPr>
              <w:pStyle w:val="TableContents"/>
              <w:bidi w:val="0"/>
              <w:spacing w:before="0" w:after="283"/>
              <w:jc w:val="left"/>
              <w:rPr>
                <w:sz w:val="4"/>
                <w:szCs w:val="4"/>
              </w:rPr>
            </w:pPr>
            <w:r>
              <w:rPr>
                <w:sz w:val="4"/>
                <w:szCs w:val="4"/>
              </w:rPr>
            </w:r>
          </w:p>
        </w:tc>
        <w:tc>
          <w:tcPr>
            <w:tcW w:w="1428" w:type="dxa"/>
            <w:gridSpan w:val="4"/>
            <w:tcBorders/>
            <w:vAlign w:val="center"/>
          </w:tcPr>
          <w:p>
            <w:pPr>
              <w:pStyle w:val="TableContents"/>
              <w:bidi w:val="0"/>
              <w:spacing w:before="0" w:after="283"/>
              <w:jc w:val="left"/>
              <w:rPr>
                <w:sz w:val="4"/>
                <w:szCs w:val="4"/>
              </w:rPr>
            </w:pPr>
            <w:r>
              <w:rPr>
                <w:sz w:val="4"/>
                <w:szCs w:val="4"/>
              </w:rPr>
            </w:r>
          </w:p>
        </w:tc>
        <w:tc>
          <w:tcPr>
            <w:tcW w:w="1199" w:type="dxa"/>
            <w:gridSpan w:val="4"/>
            <w:tcBorders/>
            <w:vAlign w:val="center"/>
          </w:tcPr>
          <w:p>
            <w:pPr>
              <w:pStyle w:val="TableContents"/>
              <w:bidi w:val="0"/>
              <w:spacing w:before="0" w:after="283"/>
              <w:jc w:val="left"/>
              <w:rPr>
                <w:sz w:val="4"/>
                <w:szCs w:val="4"/>
              </w:rPr>
            </w:pPr>
            <w:r>
              <w:rPr>
                <w:sz w:val="4"/>
                <w:szCs w:val="4"/>
              </w:rPr>
            </w:r>
          </w:p>
        </w:tc>
        <w:tc>
          <w:tcPr>
            <w:tcW w:w="1045" w:type="dxa"/>
            <w:gridSpan w:val="4"/>
            <w:tcBorders/>
            <w:vAlign w:val="center"/>
          </w:tcPr>
          <w:p>
            <w:pPr>
              <w:pStyle w:val="TableContents"/>
              <w:bidi w:val="0"/>
              <w:spacing w:before="0" w:after="283"/>
              <w:jc w:val="left"/>
              <w:rPr>
                <w:sz w:val="4"/>
                <w:szCs w:val="4"/>
              </w:rPr>
            </w:pPr>
            <w:r>
              <w:rPr>
                <w:sz w:val="4"/>
                <w:szCs w:val="4"/>
              </w:rPr>
            </w:r>
          </w:p>
        </w:tc>
        <w:tc>
          <w:tcPr>
            <w:tcW w:w="1612"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tcPr>
          <w:p>
            <w:pPr>
              <w:pStyle w:val="TableContents"/>
              <w:bidi w:val="0"/>
              <w:spacing w:before="0" w:after="283"/>
              <w:jc w:val="left"/>
              <w:rPr/>
            </w:pPr>
            <w:r>
              <w:rPr/>
              <w:t>10.7</w:t>
            </w:r>
          </w:p>
        </w:tc>
        <w:tc>
          <w:tcPr>
            <w:tcW w:w="275" w:type="dxa"/>
            <w:tcBorders/>
            <w:vAlign w:val="bottom"/>
          </w:tcPr>
          <w:p>
            <w:pPr>
              <w:pStyle w:val="TableContents"/>
              <w:bidi w:val="0"/>
              <w:spacing w:before="0" w:after="283"/>
              <w:jc w:val="left"/>
              <w:rPr/>
            </w:pPr>
            <w:r>
              <w:rPr/>
              <w:t>  </w:t>
            </w:r>
          </w:p>
        </w:tc>
        <w:tc>
          <w:tcPr>
            <w:tcW w:w="4039" w:type="dxa"/>
            <w:tcBorders/>
          </w:tcPr>
          <w:p>
            <w:pPr>
              <w:pStyle w:val="TableContents"/>
              <w:bidi w:val="0"/>
              <w:spacing w:before="0" w:after="283"/>
              <w:jc w:val="left"/>
              <w:rPr/>
            </w:pPr>
            <w:hyperlink r:id="rId30">
              <w:r>
                <w:rPr>
                  <w:rStyle w:val="InternetLink"/>
                </w:rPr>
                <w:t xml:space="preserve">Form of Contingent Value Rights Agreement </w:t>
              </w:r>
            </w:hyperlink>
          </w:p>
        </w:tc>
        <w:tc>
          <w:tcPr>
            <w:tcW w:w="184" w:type="dxa"/>
            <w:tcBorders/>
            <w:vAlign w:val="bottom"/>
          </w:tcPr>
          <w:p>
            <w:pPr>
              <w:pStyle w:val="TableContents"/>
              <w:bidi w:val="0"/>
              <w:spacing w:before="0" w:after="283"/>
              <w:jc w:val="left"/>
              <w:rPr/>
            </w:pPr>
            <w:r>
              <w:rPr/>
              <w:t>  </w:t>
            </w:r>
          </w:p>
        </w:tc>
        <w:tc>
          <w:tcPr>
            <w:tcW w:w="250" w:type="dxa"/>
            <w:tcBorders/>
          </w:tcPr>
          <w:p>
            <w:pPr>
              <w:pStyle w:val="TableContents"/>
              <w:bidi w:val="0"/>
              <w:spacing w:before="0" w:after="283"/>
              <w:jc w:val="left"/>
              <w:rPr/>
            </w:pPr>
            <w:r>
              <w:rPr/>
              <w:t> </w:t>
            </w:r>
          </w:p>
        </w:tc>
        <w:tc>
          <w:tcPr>
            <w:tcW w:w="934" w:type="dxa"/>
            <w:tcBorders/>
          </w:tcPr>
          <w:p>
            <w:pPr>
              <w:pStyle w:val="TableContents"/>
              <w:bidi w:val="0"/>
              <w:spacing w:before="0" w:after="283"/>
              <w:jc w:val="right"/>
              <w:rPr/>
            </w:pPr>
            <w:r>
              <w:rPr/>
              <w:t>8-K</w:t>
            </w:r>
          </w:p>
        </w:tc>
        <w:tc>
          <w:tcPr>
            <w:tcW w:w="60" w:type="dxa"/>
            <w:tcBorders/>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95" w:type="dxa"/>
            <w:tcBorders/>
          </w:tcPr>
          <w:p>
            <w:pPr>
              <w:pStyle w:val="TableContents"/>
              <w:bidi w:val="0"/>
              <w:spacing w:before="0" w:after="283"/>
              <w:jc w:val="right"/>
              <w:rPr/>
            </w:pPr>
            <w:r>
              <w:rPr/>
              <w:t>001-40440</w:t>
            </w:r>
          </w:p>
        </w:tc>
        <w:tc>
          <w:tcPr>
            <w:tcW w:w="60" w:type="dxa"/>
            <w:tcBorders/>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09" w:type="dxa"/>
            <w:tcBorders/>
          </w:tcPr>
          <w:p>
            <w:pPr>
              <w:pStyle w:val="TableContents"/>
              <w:bidi w:val="0"/>
              <w:spacing w:before="0" w:after="283"/>
              <w:jc w:val="right"/>
              <w:rPr/>
            </w:pPr>
            <w:r>
              <w:rPr/>
              <w:t>10.1</w:t>
            </w:r>
          </w:p>
        </w:tc>
        <w:tc>
          <w:tcPr>
            <w:tcW w:w="60" w:type="dxa"/>
            <w:tcBorders/>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0" w:type="dxa"/>
            <w:tcBorders/>
          </w:tcPr>
          <w:p>
            <w:pPr>
              <w:pStyle w:val="TableContents"/>
              <w:bidi w:val="0"/>
              <w:spacing w:before="0" w:after="283"/>
              <w:jc w:val="left"/>
              <w:rPr/>
            </w:pPr>
            <w:r>
              <w:rPr/>
              <w:t>July 15, 2026</w:t>
            </w:r>
          </w:p>
        </w:tc>
      </w:tr>
      <w:tr>
        <w:trPr>
          <w:trHeight w:val="120" w:hRule="atLeast"/>
        </w:trPr>
        <w:tc>
          <w:tcPr>
            <w:tcW w:w="607" w:type="dxa"/>
            <w:tcBorders/>
            <w:vAlign w:val="center"/>
          </w:tcPr>
          <w:p>
            <w:pPr>
              <w:pStyle w:val="TableContents"/>
              <w:bidi w:val="0"/>
              <w:spacing w:before="0" w:after="283"/>
              <w:jc w:val="left"/>
              <w:rPr>
                <w:sz w:val="4"/>
                <w:szCs w:val="4"/>
              </w:rPr>
            </w:pPr>
            <w:r>
              <w:rPr>
                <w:sz w:val="4"/>
                <w:szCs w:val="4"/>
              </w:rPr>
            </w:r>
          </w:p>
        </w:tc>
        <w:tc>
          <w:tcPr>
            <w:tcW w:w="4314" w:type="dxa"/>
            <w:gridSpan w:val="2"/>
            <w:tcBorders/>
            <w:vAlign w:val="center"/>
          </w:tcPr>
          <w:p>
            <w:pPr>
              <w:pStyle w:val="TableContents"/>
              <w:bidi w:val="0"/>
              <w:spacing w:before="0" w:after="283"/>
              <w:jc w:val="left"/>
              <w:rPr>
                <w:sz w:val="4"/>
                <w:szCs w:val="4"/>
              </w:rPr>
            </w:pPr>
            <w:r>
              <w:rPr>
                <w:sz w:val="4"/>
                <w:szCs w:val="4"/>
              </w:rPr>
            </w:r>
          </w:p>
        </w:tc>
        <w:tc>
          <w:tcPr>
            <w:tcW w:w="1428" w:type="dxa"/>
            <w:gridSpan w:val="4"/>
            <w:tcBorders/>
            <w:vAlign w:val="center"/>
          </w:tcPr>
          <w:p>
            <w:pPr>
              <w:pStyle w:val="TableContents"/>
              <w:bidi w:val="0"/>
              <w:spacing w:before="0" w:after="283"/>
              <w:jc w:val="left"/>
              <w:rPr>
                <w:sz w:val="4"/>
                <w:szCs w:val="4"/>
              </w:rPr>
            </w:pPr>
            <w:r>
              <w:rPr>
                <w:sz w:val="4"/>
                <w:szCs w:val="4"/>
              </w:rPr>
            </w:r>
          </w:p>
        </w:tc>
        <w:tc>
          <w:tcPr>
            <w:tcW w:w="1199" w:type="dxa"/>
            <w:gridSpan w:val="4"/>
            <w:tcBorders/>
            <w:vAlign w:val="center"/>
          </w:tcPr>
          <w:p>
            <w:pPr>
              <w:pStyle w:val="TableContents"/>
              <w:bidi w:val="0"/>
              <w:spacing w:before="0" w:after="283"/>
              <w:jc w:val="left"/>
              <w:rPr>
                <w:sz w:val="4"/>
                <w:szCs w:val="4"/>
              </w:rPr>
            </w:pPr>
            <w:r>
              <w:rPr>
                <w:sz w:val="4"/>
                <w:szCs w:val="4"/>
              </w:rPr>
            </w:r>
          </w:p>
        </w:tc>
        <w:tc>
          <w:tcPr>
            <w:tcW w:w="1045" w:type="dxa"/>
            <w:gridSpan w:val="4"/>
            <w:tcBorders/>
            <w:vAlign w:val="center"/>
          </w:tcPr>
          <w:p>
            <w:pPr>
              <w:pStyle w:val="TableContents"/>
              <w:bidi w:val="0"/>
              <w:spacing w:before="0" w:after="283"/>
              <w:jc w:val="left"/>
              <w:rPr>
                <w:sz w:val="4"/>
                <w:szCs w:val="4"/>
              </w:rPr>
            </w:pPr>
            <w:r>
              <w:rPr>
                <w:sz w:val="4"/>
                <w:szCs w:val="4"/>
              </w:rPr>
            </w:r>
          </w:p>
        </w:tc>
        <w:tc>
          <w:tcPr>
            <w:tcW w:w="1612"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tcPr>
          <w:p>
            <w:pPr>
              <w:pStyle w:val="TableContents"/>
              <w:bidi w:val="0"/>
              <w:spacing w:before="0" w:after="283"/>
              <w:jc w:val="left"/>
              <w:rPr/>
            </w:pPr>
            <w:r>
              <w:rPr/>
              <w:t>23.1</w:t>
            </w:r>
          </w:p>
        </w:tc>
        <w:tc>
          <w:tcPr>
            <w:tcW w:w="275" w:type="dxa"/>
            <w:tcBorders/>
            <w:vAlign w:val="bottom"/>
          </w:tcPr>
          <w:p>
            <w:pPr>
              <w:pStyle w:val="TableContents"/>
              <w:bidi w:val="0"/>
              <w:spacing w:before="0" w:after="283"/>
              <w:jc w:val="left"/>
              <w:rPr/>
            </w:pPr>
            <w:r>
              <w:rPr/>
              <w:t>  </w:t>
            </w:r>
          </w:p>
        </w:tc>
        <w:tc>
          <w:tcPr>
            <w:tcW w:w="4039" w:type="dxa"/>
            <w:tcBorders/>
          </w:tcPr>
          <w:p>
            <w:pPr>
              <w:pStyle w:val="TableContents"/>
              <w:bidi w:val="0"/>
              <w:spacing w:before="0" w:after="283"/>
              <w:jc w:val="left"/>
              <w:rPr/>
            </w:pPr>
            <w:hyperlink r:id="rId31">
              <w:r>
                <w:rPr>
                  <w:rStyle w:val="InternetLink"/>
                </w:rPr>
                <w:t xml:space="preserve">Consent of KPMG LLP, Independent Registered Public Accounting Firm </w:t>
              </w:r>
            </w:hyperlink>
          </w:p>
        </w:tc>
        <w:tc>
          <w:tcPr>
            <w:tcW w:w="184" w:type="dxa"/>
            <w:tcBorders/>
            <w:vAlign w:val="bottom"/>
          </w:tcPr>
          <w:p>
            <w:pPr>
              <w:pStyle w:val="TableContents"/>
              <w:bidi w:val="0"/>
              <w:spacing w:before="0" w:after="283"/>
              <w:jc w:val="left"/>
              <w:rPr/>
            </w:pPr>
            <w:r>
              <w:rPr/>
              <w:t>  </w:t>
            </w:r>
          </w:p>
        </w:tc>
        <w:tc>
          <w:tcPr>
            <w:tcW w:w="250" w:type="dxa"/>
            <w:tcBorders/>
          </w:tcPr>
          <w:p>
            <w:pPr>
              <w:pStyle w:val="TableContents"/>
              <w:bidi w:val="0"/>
              <w:spacing w:before="0" w:after="283"/>
              <w:jc w:val="left"/>
              <w:rPr/>
            </w:pPr>
            <w:r>
              <w:rPr/>
              <w:t> </w:t>
            </w:r>
          </w:p>
        </w:tc>
        <w:tc>
          <w:tcPr>
            <w:tcW w:w="934" w:type="dxa"/>
            <w:tcBorders/>
          </w:tcPr>
          <w:p>
            <w:pPr>
              <w:pStyle w:val="TableContents"/>
              <w:bidi w:val="0"/>
              <w:spacing w:before="0" w:after="283"/>
              <w:jc w:val="right"/>
              <w:rPr/>
            </w:pPr>
            <w:r>
              <w:rPr/>
              <w:t>S-3</w:t>
            </w:r>
          </w:p>
        </w:tc>
        <w:tc>
          <w:tcPr>
            <w:tcW w:w="60" w:type="dxa"/>
            <w:tcBorders/>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95" w:type="dxa"/>
            <w:tcBorders/>
          </w:tcPr>
          <w:p>
            <w:pPr>
              <w:pStyle w:val="TableContents"/>
              <w:bidi w:val="0"/>
              <w:spacing w:before="0" w:after="283"/>
              <w:jc w:val="right"/>
              <w:rPr/>
            </w:pPr>
            <w:r>
              <w:rPr/>
              <w:t>333-296917</w:t>
            </w:r>
          </w:p>
        </w:tc>
        <w:tc>
          <w:tcPr>
            <w:tcW w:w="60" w:type="dxa"/>
            <w:tcBorders/>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09" w:type="dxa"/>
            <w:tcBorders/>
          </w:tcPr>
          <w:p>
            <w:pPr>
              <w:pStyle w:val="TableContents"/>
              <w:bidi w:val="0"/>
              <w:spacing w:before="0" w:after="283"/>
              <w:jc w:val="right"/>
              <w:rPr/>
            </w:pPr>
            <w:r>
              <w:rPr/>
              <w:t>23.1</w:t>
            </w:r>
          </w:p>
        </w:tc>
        <w:tc>
          <w:tcPr>
            <w:tcW w:w="60" w:type="dxa"/>
            <w:tcBorders/>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0" w:type="dxa"/>
            <w:tcBorders/>
          </w:tcPr>
          <w:p>
            <w:pPr>
              <w:pStyle w:val="TableContents"/>
              <w:bidi w:val="0"/>
              <w:spacing w:before="0" w:after="283"/>
              <w:jc w:val="left"/>
              <w:rPr/>
            </w:pPr>
            <w:r>
              <w:rPr/>
              <w:t>June 18, 2026</w:t>
            </w:r>
          </w:p>
        </w:tc>
      </w:tr>
      <w:tr>
        <w:trPr>
          <w:trHeight w:val="120" w:hRule="atLeast"/>
        </w:trPr>
        <w:tc>
          <w:tcPr>
            <w:tcW w:w="607" w:type="dxa"/>
            <w:tcBorders/>
            <w:vAlign w:val="center"/>
          </w:tcPr>
          <w:p>
            <w:pPr>
              <w:pStyle w:val="TableContents"/>
              <w:bidi w:val="0"/>
              <w:spacing w:before="0" w:after="283"/>
              <w:jc w:val="left"/>
              <w:rPr>
                <w:sz w:val="4"/>
                <w:szCs w:val="4"/>
              </w:rPr>
            </w:pPr>
            <w:r>
              <w:rPr>
                <w:sz w:val="4"/>
                <w:szCs w:val="4"/>
              </w:rPr>
            </w:r>
          </w:p>
        </w:tc>
        <w:tc>
          <w:tcPr>
            <w:tcW w:w="4314" w:type="dxa"/>
            <w:gridSpan w:val="2"/>
            <w:tcBorders/>
            <w:vAlign w:val="center"/>
          </w:tcPr>
          <w:p>
            <w:pPr>
              <w:pStyle w:val="TableContents"/>
              <w:bidi w:val="0"/>
              <w:spacing w:before="0" w:after="283"/>
              <w:jc w:val="left"/>
              <w:rPr>
                <w:sz w:val="4"/>
                <w:szCs w:val="4"/>
              </w:rPr>
            </w:pPr>
            <w:r>
              <w:rPr>
                <w:sz w:val="4"/>
                <w:szCs w:val="4"/>
              </w:rPr>
            </w:r>
          </w:p>
        </w:tc>
        <w:tc>
          <w:tcPr>
            <w:tcW w:w="1428" w:type="dxa"/>
            <w:gridSpan w:val="4"/>
            <w:tcBorders/>
            <w:vAlign w:val="center"/>
          </w:tcPr>
          <w:p>
            <w:pPr>
              <w:pStyle w:val="TableContents"/>
              <w:bidi w:val="0"/>
              <w:spacing w:before="0" w:after="283"/>
              <w:jc w:val="left"/>
              <w:rPr>
                <w:sz w:val="4"/>
                <w:szCs w:val="4"/>
              </w:rPr>
            </w:pPr>
            <w:r>
              <w:rPr>
                <w:sz w:val="4"/>
                <w:szCs w:val="4"/>
              </w:rPr>
            </w:r>
          </w:p>
        </w:tc>
        <w:tc>
          <w:tcPr>
            <w:tcW w:w="1199" w:type="dxa"/>
            <w:gridSpan w:val="4"/>
            <w:tcBorders/>
            <w:vAlign w:val="center"/>
          </w:tcPr>
          <w:p>
            <w:pPr>
              <w:pStyle w:val="TableContents"/>
              <w:bidi w:val="0"/>
              <w:spacing w:before="0" w:after="283"/>
              <w:jc w:val="left"/>
              <w:rPr>
                <w:sz w:val="4"/>
                <w:szCs w:val="4"/>
              </w:rPr>
            </w:pPr>
            <w:r>
              <w:rPr>
                <w:sz w:val="4"/>
                <w:szCs w:val="4"/>
              </w:rPr>
            </w:r>
          </w:p>
        </w:tc>
        <w:tc>
          <w:tcPr>
            <w:tcW w:w="1045" w:type="dxa"/>
            <w:gridSpan w:val="4"/>
            <w:tcBorders/>
            <w:vAlign w:val="center"/>
          </w:tcPr>
          <w:p>
            <w:pPr>
              <w:pStyle w:val="TableContents"/>
              <w:bidi w:val="0"/>
              <w:spacing w:before="0" w:after="283"/>
              <w:jc w:val="left"/>
              <w:rPr>
                <w:sz w:val="4"/>
                <w:szCs w:val="4"/>
              </w:rPr>
            </w:pPr>
            <w:r>
              <w:rPr>
                <w:sz w:val="4"/>
                <w:szCs w:val="4"/>
              </w:rPr>
            </w:r>
          </w:p>
        </w:tc>
        <w:tc>
          <w:tcPr>
            <w:tcW w:w="1612"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tcPr>
          <w:p>
            <w:pPr>
              <w:pStyle w:val="TableContents"/>
              <w:bidi w:val="0"/>
              <w:spacing w:before="0" w:after="283"/>
              <w:jc w:val="left"/>
              <w:rPr/>
            </w:pPr>
            <w:r>
              <w:rPr/>
              <w:t>23.2</w:t>
            </w:r>
          </w:p>
        </w:tc>
        <w:tc>
          <w:tcPr>
            <w:tcW w:w="275" w:type="dxa"/>
            <w:tcBorders/>
            <w:vAlign w:val="bottom"/>
          </w:tcPr>
          <w:p>
            <w:pPr>
              <w:pStyle w:val="TableContents"/>
              <w:bidi w:val="0"/>
              <w:spacing w:before="0" w:after="283"/>
              <w:jc w:val="left"/>
              <w:rPr/>
            </w:pPr>
            <w:r>
              <w:rPr/>
              <w:t>  </w:t>
            </w:r>
          </w:p>
        </w:tc>
        <w:tc>
          <w:tcPr>
            <w:tcW w:w="4039" w:type="dxa"/>
            <w:tcBorders/>
          </w:tcPr>
          <w:p>
            <w:pPr>
              <w:pStyle w:val="TableContents"/>
              <w:bidi w:val="0"/>
              <w:spacing w:before="0" w:after="283"/>
              <w:jc w:val="left"/>
              <w:rPr/>
            </w:pPr>
            <w:hyperlink r:id="rId32">
              <w:r>
                <w:rPr>
                  <w:rStyle w:val="InternetLink"/>
                </w:rPr>
                <w:t xml:space="preserve">Consent of Gunderson Dettmer Stough Villeneuve Franklin &amp; Hachigian, LLP </w:t>
              </w:r>
            </w:hyperlink>
          </w:p>
        </w:tc>
        <w:tc>
          <w:tcPr>
            <w:tcW w:w="184" w:type="dxa"/>
            <w:tcBorders/>
            <w:vAlign w:val="bottom"/>
          </w:tcPr>
          <w:p>
            <w:pPr>
              <w:pStyle w:val="TableContents"/>
              <w:bidi w:val="0"/>
              <w:spacing w:before="0" w:after="283"/>
              <w:jc w:val="left"/>
              <w:rPr/>
            </w:pPr>
            <w:r>
              <w:rPr/>
              <w:t>  </w:t>
            </w:r>
          </w:p>
        </w:tc>
        <w:tc>
          <w:tcPr>
            <w:tcW w:w="250" w:type="dxa"/>
            <w:tcBorders/>
          </w:tcPr>
          <w:p>
            <w:pPr>
              <w:pStyle w:val="TableContents"/>
              <w:bidi w:val="0"/>
              <w:spacing w:before="0" w:after="283"/>
              <w:jc w:val="left"/>
              <w:rPr/>
            </w:pPr>
            <w:r>
              <w:rPr/>
              <w:t> </w:t>
            </w:r>
          </w:p>
        </w:tc>
        <w:tc>
          <w:tcPr>
            <w:tcW w:w="934" w:type="dxa"/>
            <w:tcBorders/>
          </w:tcPr>
          <w:p>
            <w:pPr>
              <w:pStyle w:val="TableContents"/>
              <w:bidi w:val="0"/>
              <w:spacing w:before="0" w:after="283"/>
              <w:jc w:val="right"/>
              <w:rPr/>
            </w:pPr>
            <w:r>
              <w:rPr/>
              <w:t>S-3</w:t>
            </w:r>
          </w:p>
        </w:tc>
        <w:tc>
          <w:tcPr>
            <w:tcW w:w="60" w:type="dxa"/>
            <w:tcBorders/>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95" w:type="dxa"/>
            <w:tcBorders/>
          </w:tcPr>
          <w:p>
            <w:pPr>
              <w:pStyle w:val="TableContents"/>
              <w:bidi w:val="0"/>
              <w:spacing w:before="0" w:after="283"/>
              <w:jc w:val="right"/>
              <w:rPr/>
            </w:pPr>
            <w:r>
              <w:rPr/>
              <w:t>333-296917</w:t>
            </w:r>
          </w:p>
        </w:tc>
        <w:tc>
          <w:tcPr>
            <w:tcW w:w="60" w:type="dxa"/>
            <w:tcBorders/>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09" w:type="dxa"/>
            <w:tcBorders/>
          </w:tcPr>
          <w:p>
            <w:pPr>
              <w:pStyle w:val="TableContents"/>
              <w:bidi w:val="0"/>
              <w:spacing w:before="0" w:after="283"/>
              <w:jc w:val="right"/>
              <w:rPr/>
            </w:pPr>
            <w:r>
              <w:rPr/>
              <w:t>5.1</w:t>
            </w:r>
          </w:p>
        </w:tc>
        <w:tc>
          <w:tcPr>
            <w:tcW w:w="60" w:type="dxa"/>
            <w:tcBorders/>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0" w:type="dxa"/>
            <w:tcBorders/>
          </w:tcPr>
          <w:p>
            <w:pPr>
              <w:pStyle w:val="TableContents"/>
              <w:bidi w:val="0"/>
              <w:spacing w:before="0" w:after="283"/>
              <w:jc w:val="left"/>
              <w:rPr/>
            </w:pPr>
            <w:r>
              <w:rPr/>
              <w:t>June 18, 2026</w:t>
            </w:r>
          </w:p>
        </w:tc>
      </w:tr>
      <w:tr>
        <w:trPr>
          <w:trHeight w:val="120" w:hRule="atLeast"/>
        </w:trPr>
        <w:tc>
          <w:tcPr>
            <w:tcW w:w="607" w:type="dxa"/>
            <w:tcBorders/>
            <w:vAlign w:val="center"/>
          </w:tcPr>
          <w:p>
            <w:pPr>
              <w:pStyle w:val="TableContents"/>
              <w:bidi w:val="0"/>
              <w:spacing w:before="0" w:after="283"/>
              <w:jc w:val="left"/>
              <w:rPr>
                <w:sz w:val="4"/>
                <w:szCs w:val="4"/>
              </w:rPr>
            </w:pPr>
            <w:r>
              <w:rPr>
                <w:sz w:val="4"/>
                <w:szCs w:val="4"/>
              </w:rPr>
            </w:r>
          </w:p>
        </w:tc>
        <w:tc>
          <w:tcPr>
            <w:tcW w:w="4314" w:type="dxa"/>
            <w:gridSpan w:val="2"/>
            <w:tcBorders/>
            <w:vAlign w:val="center"/>
          </w:tcPr>
          <w:p>
            <w:pPr>
              <w:pStyle w:val="TableContents"/>
              <w:bidi w:val="0"/>
              <w:spacing w:before="0" w:after="283"/>
              <w:jc w:val="left"/>
              <w:rPr>
                <w:sz w:val="4"/>
                <w:szCs w:val="4"/>
              </w:rPr>
            </w:pPr>
            <w:r>
              <w:rPr>
                <w:sz w:val="4"/>
                <w:szCs w:val="4"/>
              </w:rPr>
            </w:r>
          </w:p>
        </w:tc>
        <w:tc>
          <w:tcPr>
            <w:tcW w:w="1428" w:type="dxa"/>
            <w:gridSpan w:val="4"/>
            <w:tcBorders/>
            <w:vAlign w:val="center"/>
          </w:tcPr>
          <w:p>
            <w:pPr>
              <w:pStyle w:val="TableContents"/>
              <w:bidi w:val="0"/>
              <w:spacing w:before="0" w:after="283"/>
              <w:jc w:val="left"/>
              <w:rPr>
                <w:sz w:val="4"/>
                <w:szCs w:val="4"/>
              </w:rPr>
            </w:pPr>
            <w:r>
              <w:rPr>
                <w:sz w:val="4"/>
                <w:szCs w:val="4"/>
              </w:rPr>
            </w:r>
          </w:p>
        </w:tc>
        <w:tc>
          <w:tcPr>
            <w:tcW w:w="1199" w:type="dxa"/>
            <w:gridSpan w:val="4"/>
            <w:tcBorders/>
            <w:vAlign w:val="center"/>
          </w:tcPr>
          <w:p>
            <w:pPr>
              <w:pStyle w:val="TableContents"/>
              <w:bidi w:val="0"/>
              <w:spacing w:before="0" w:after="283"/>
              <w:jc w:val="left"/>
              <w:rPr>
                <w:sz w:val="4"/>
                <w:szCs w:val="4"/>
              </w:rPr>
            </w:pPr>
            <w:r>
              <w:rPr>
                <w:sz w:val="4"/>
                <w:szCs w:val="4"/>
              </w:rPr>
            </w:r>
          </w:p>
        </w:tc>
        <w:tc>
          <w:tcPr>
            <w:tcW w:w="1045" w:type="dxa"/>
            <w:gridSpan w:val="4"/>
            <w:tcBorders/>
            <w:vAlign w:val="center"/>
          </w:tcPr>
          <w:p>
            <w:pPr>
              <w:pStyle w:val="TableContents"/>
              <w:bidi w:val="0"/>
              <w:spacing w:before="0" w:after="283"/>
              <w:jc w:val="left"/>
              <w:rPr>
                <w:sz w:val="4"/>
                <w:szCs w:val="4"/>
              </w:rPr>
            </w:pPr>
            <w:r>
              <w:rPr>
                <w:sz w:val="4"/>
                <w:szCs w:val="4"/>
              </w:rPr>
            </w:r>
          </w:p>
        </w:tc>
        <w:tc>
          <w:tcPr>
            <w:tcW w:w="1612"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tcPr>
          <w:p>
            <w:pPr>
              <w:pStyle w:val="TableContents"/>
              <w:bidi w:val="0"/>
              <w:spacing w:before="0" w:after="283"/>
              <w:jc w:val="left"/>
              <w:rPr/>
            </w:pPr>
            <w:r>
              <w:rPr/>
              <w:t>24.1</w:t>
            </w:r>
          </w:p>
        </w:tc>
        <w:tc>
          <w:tcPr>
            <w:tcW w:w="275" w:type="dxa"/>
            <w:tcBorders/>
            <w:vAlign w:val="bottom"/>
          </w:tcPr>
          <w:p>
            <w:pPr>
              <w:pStyle w:val="TableContents"/>
              <w:bidi w:val="0"/>
              <w:spacing w:before="0" w:after="283"/>
              <w:jc w:val="left"/>
              <w:rPr/>
            </w:pPr>
            <w:r>
              <w:rPr/>
              <w:t>  </w:t>
            </w:r>
          </w:p>
        </w:tc>
        <w:tc>
          <w:tcPr>
            <w:tcW w:w="4039" w:type="dxa"/>
            <w:tcBorders/>
          </w:tcPr>
          <w:p>
            <w:pPr>
              <w:pStyle w:val="TableContents"/>
              <w:bidi w:val="0"/>
              <w:spacing w:before="0" w:after="283"/>
              <w:jc w:val="left"/>
              <w:rPr/>
            </w:pPr>
            <w:r>
              <w:fldChar w:fldCharType="begin"/>
            </w:r>
            <w:r>
              <w:rPr>
                <w:rStyle w:val="InternetLink"/>
              </w:rPr>
              <w:instrText xml:space="preserve"> HYPERLINK "http://www.sec.gov/Archives/edgar/data/1854270/000119312526276079/d87527ds3.htm" \l "sig"</w:instrText>
            </w:r>
            <w:r>
              <w:rPr>
                <w:rStyle w:val="InternetLink"/>
              </w:rPr>
              <w:fldChar w:fldCharType="separate"/>
            </w:r>
            <w:r>
              <w:rPr>
                <w:rStyle w:val="InternetLink"/>
              </w:rPr>
              <w:t xml:space="preserve">Power of Attorney </w:t>
            </w:r>
            <w:r>
              <w:rPr>
                <w:rStyle w:val="InternetLink"/>
              </w:rPr>
              <w:fldChar w:fldCharType="end"/>
            </w:r>
          </w:p>
        </w:tc>
        <w:tc>
          <w:tcPr>
            <w:tcW w:w="184" w:type="dxa"/>
            <w:tcBorders/>
            <w:vAlign w:val="bottom"/>
          </w:tcPr>
          <w:p>
            <w:pPr>
              <w:pStyle w:val="TableContents"/>
              <w:bidi w:val="0"/>
              <w:spacing w:before="0" w:after="283"/>
              <w:jc w:val="left"/>
              <w:rPr/>
            </w:pPr>
            <w:r>
              <w:rPr/>
              <w:t>  </w:t>
            </w:r>
          </w:p>
        </w:tc>
        <w:tc>
          <w:tcPr>
            <w:tcW w:w="250" w:type="dxa"/>
            <w:tcBorders/>
          </w:tcPr>
          <w:p>
            <w:pPr>
              <w:pStyle w:val="TableContents"/>
              <w:bidi w:val="0"/>
              <w:spacing w:before="0" w:after="283"/>
              <w:jc w:val="left"/>
              <w:rPr/>
            </w:pPr>
            <w:r>
              <w:rPr/>
              <w:t> </w:t>
            </w:r>
          </w:p>
        </w:tc>
        <w:tc>
          <w:tcPr>
            <w:tcW w:w="934" w:type="dxa"/>
            <w:tcBorders/>
          </w:tcPr>
          <w:p>
            <w:pPr>
              <w:pStyle w:val="TableContents"/>
              <w:bidi w:val="0"/>
              <w:spacing w:before="0" w:after="283"/>
              <w:jc w:val="right"/>
              <w:rPr/>
            </w:pPr>
            <w:r>
              <w:rPr/>
              <w:t>S-3</w:t>
            </w:r>
          </w:p>
        </w:tc>
        <w:tc>
          <w:tcPr>
            <w:tcW w:w="60" w:type="dxa"/>
            <w:tcBorders/>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95" w:type="dxa"/>
            <w:tcBorders/>
          </w:tcPr>
          <w:p>
            <w:pPr>
              <w:pStyle w:val="TableContents"/>
              <w:bidi w:val="0"/>
              <w:spacing w:before="0" w:after="283"/>
              <w:jc w:val="right"/>
              <w:rPr/>
            </w:pPr>
            <w:r>
              <w:rPr/>
              <w:t>333-296917</w:t>
            </w:r>
          </w:p>
        </w:tc>
        <w:tc>
          <w:tcPr>
            <w:tcW w:w="60" w:type="dxa"/>
            <w:tcBorders/>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pPr>
            <w:r>
              <w:rPr/>
              <w:t> </w:t>
            </w:r>
          </w:p>
        </w:tc>
        <w:tc>
          <w:tcPr>
            <w:tcW w:w="709" w:type="dxa"/>
            <w:tcBorders/>
          </w:tcPr>
          <w:p>
            <w:pPr>
              <w:pStyle w:val="TableContents"/>
              <w:bidi w:val="0"/>
              <w:spacing w:before="0" w:after="283"/>
              <w:jc w:val="right"/>
              <w:rPr/>
            </w:pPr>
            <w:r>
              <w:rPr/>
              <w:t>24.1</w:t>
            </w:r>
          </w:p>
        </w:tc>
        <w:tc>
          <w:tcPr>
            <w:tcW w:w="60" w:type="dxa"/>
            <w:tcBorders/>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20" w:type="dxa"/>
            <w:tcBorders/>
          </w:tcPr>
          <w:p>
            <w:pPr>
              <w:pStyle w:val="TableContents"/>
              <w:bidi w:val="0"/>
              <w:spacing w:before="0" w:after="283"/>
              <w:jc w:val="left"/>
              <w:rPr/>
            </w:pPr>
            <w:r>
              <w:rPr/>
              <w:t>June 18, 2026</w:t>
            </w:r>
          </w:p>
        </w:tc>
      </w:tr>
      <w:tr>
        <w:trPr>
          <w:trHeight w:val="120" w:hRule="atLeast"/>
        </w:trPr>
        <w:tc>
          <w:tcPr>
            <w:tcW w:w="607" w:type="dxa"/>
            <w:tcBorders/>
            <w:vAlign w:val="center"/>
          </w:tcPr>
          <w:p>
            <w:pPr>
              <w:pStyle w:val="TableContents"/>
              <w:bidi w:val="0"/>
              <w:spacing w:before="0" w:after="283"/>
              <w:jc w:val="left"/>
              <w:rPr>
                <w:sz w:val="4"/>
                <w:szCs w:val="4"/>
              </w:rPr>
            </w:pPr>
            <w:r>
              <w:rPr>
                <w:sz w:val="4"/>
                <w:szCs w:val="4"/>
              </w:rPr>
            </w:r>
          </w:p>
        </w:tc>
        <w:tc>
          <w:tcPr>
            <w:tcW w:w="4314" w:type="dxa"/>
            <w:gridSpan w:val="2"/>
            <w:tcBorders/>
            <w:vAlign w:val="center"/>
          </w:tcPr>
          <w:p>
            <w:pPr>
              <w:pStyle w:val="TableContents"/>
              <w:bidi w:val="0"/>
              <w:spacing w:before="0" w:after="283"/>
              <w:jc w:val="left"/>
              <w:rPr>
                <w:sz w:val="4"/>
                <w:szCs w:val="4"/>
              </w:rPr>
            </w:pPr>
            <w:r>
              <w:rPr>
                <w:sz w:val="4"/>
                <w:szCs w:val="4"/>
              </w:rPr>
            </w:r>
          </w:p>
        </w:tc>
        <w:tc>
          <w:tcPr>
            <w:tcW w:w="1428" w:type="dxa"/>
            <w:gridSpan w:val="4"/>
            <w:tcBorders/>
            <w:vAlign w:val="center"/>
          </w:tcPr>
          <w:p>
            <w:pPr>
              <w:pStyle w:val="TableContents"/>
              <w:bidi w:val="0"/>
              <w:spacing w:before="0" w:after="283"/>
              <w:jc w:val="left"/>
              <w:rPr>
                <w:sz w:val="4"/>
                <w:szCs w:val="4"/>
              </w:rPr>
            </w:pPr>
            <w:r>
              <w:rPr>
                <w:sz w:val="4"/>
                <w:szCs w:val="4"/>
              </w:rPr>
            </w:r>
          </w:p>
        </w:tc>
        <w:tc>
          <w:tcPr>
            <w:tcW w:w="1199" w:type="dxa"/>
            <w:gridSpan w:val="4"/>
            <w:tcBorders/>
            <w:vAlign w:val="center"/>
          </w:tcPr>
          <w:p>
            <w:pPr>
              <w:pStyle w:val="TableContents"/>
              <w:bidi w:val="0"/>
              <w:spacing w:before="0" w:after="283"/>
              <w:jc w:val="left"/>
              <w:rPr>
                <w:sz w:val="4"/>
                <w:szCs w:val="4"/>
              </w:rPr>
            </w:pPr>
            <w:r>
              <w:rPr>
                <w:sz w:val="4"/>
                <w:szCs w:val="4"/>
              </w:rPr>
            </w:r>
          </w:p>
        </w:tc>
        <w:tc>
          <w:tcPr>
            <w:tcW w:w="1045" w:type="dxa"/>
            <w:gridSpan w:val="4"/>
            <w:tcBorders/>
            <w:vAlign w:val="center"/>
          </w:tcPr>
          <w:p>
            <w:pPr>
              <w:pStyle w:val="TableContents"/>
              <w:bidi w:val="0"/>
              <w:spacing w:before="0" w:after="283"/>
              <w:jc w:val="left"/>
              <w:rPr>
                <w:sz w:val="4"/>
                <w:szCs w:val="4"/>
              </w:rPr>
            </w:pPr>
            <w:r>
              <w:rPr>
                <w:sz w:val="4"/>
                <w:szCs w:val="4"/>
              </w:rPr>
            </w:r>
          </w:p>
        </w:tc>
        <w:tc>
          <w:tcPr>
            <w:tcW w:w="1612" w:type="dxa"/>
            <w:gridSpan w:val="2"/>
            <w:tcBorders/>
            <w:vAlign w:val="center"/>
          </w:tcPr>
          <w:p>
            <w:pPr>
              <w:pStyle w:val="TableContents"/>
              <w:bidi w:val="0"/>
              <w:spacing w:before="0" w:after="283"/>
              <w:jc w:val="left"/>
              <w:rPr>
                <w:sz w:val="4"/>
                <w:szCs w:val="4"/>
              </w:rPr>
            </w:pPr>
            <w:r>
              <w:rPr>
                <w:sz w:val="4"/>
                <w:szCs w:val="4"/>
              </w:rPr>
            </w:r>
          </w:p>
        </w:tc>
      </w:tr>
      <w:tr>
        <w:trPr/>
        <w:tc>
          <w:tcPr>
            <w:tcW w:w="607" w:type="dxa"/>
            <w:tcBorders/>
          </w:tcPr>
          <w:p>
            <w:pPr>
              <w:pStyle w:val="TableContents"/>
              <w:bidi w:val="0"/>
              <w:spacing w:before="0" w:after="283"/>
              <w:jc w:val="left"/>
              <w:rPr/>
            </w:pPr>
            <w:r>
              <w:rPr/>
              <w:t>107</w:t>
            </w:r>
          </w:p>
        </w:tc>
        <w:tc>
          <w:tcPr>
            <w:tcW w:w="275" w:type="dxa"/>
            <w:tcBorders/>
            <w:vAlign w:val="bottom"/>
          </w:tcPr>
          <w:p>
            <w:pPr>
              <w:pStyle w:val="TableContents"/>
              <w:bidi w:val="0"/>
              <w:spacing w:before="0" w:after="283"/>
              <w:jc w:val="left"/>
              <w:rPr/>
            </w:pPr>
            <w:r>
              <w:rPr/>
              <w:t>  </w:t>
            </w:r>
          </w:p>
        </w:tc>
        <w:tc>
          <w:tcPr>
            <w:tcW w:w="4039" w:type="dxa"/>
            <w:tcBorders/>
          </w:tcPr>
          <w:p>
            <w:pPr>
              <w:pStyle w:val="TableContents"/>
              <w:bidi w:val="0"/>
              <w:spacing w:before="0" w:after="283"/>
              <w:jc w:val="left"/>
              <w:rPr/>
            </w:pPr>
            <w:hyperlink r:id="rId33">
              <w:r>
                <w:rPr>
                  <w:rStyle w:val="InternetLink"/>
                </w:rPr>
                <w:t xml:space="preserve">Filing Fee Table </w:t>
              </w:r>
            </w:hyperlink>
          </w:p>
        </w:tc>
        <w:tc>
          <w:tcPr>
            <w:tcW w:w="184" w:type="dxa"/>
            <w:tcBorders/>
            <w:vAlign w:val="bottom"/>
          </w:tcPr>
          <w:p>
            <w:pPr>
              <w:pStyle w:val="TableContents"/>
              <w:bidi w:val="0"/>
              <w:spacing w:before="0" w:after="283"/>
              <w:jc w:val="left"/>
              <w:rPr/>
            </w:pPr>
            <w:r>
              <w:rPr/>
              <w:t>  </w:t>
            </w:r>
          </w:p>
        </w:tc>
        <w:tc>
          <w:tcPr>
            <w:tcW w:w="250" w:type="dxa"/>
            <w:tcBorders/>
          </w:tcPr>
          <w:p>
            <w:pPr>
              <w:pStyle w:val="TableContents"/>
              <w:bidi w:val="0"/>
              <w:spacing w:before="0" w:after="283"/>
              <w:jc w:val="left"/>
              <w:rPr>
                <w:sz w:val="4"/>
                <w:szCs w:val="4"/>
              </w:rPr>
            </w:pPr>
            <w:r>
              <w:rPr>
                <w:sz w:val="4"/>
                <w:szCs w:val="4"/>
              </w:rPr>
            </w:r>
          </w:p>
        </w:tc>
        <w:tc>
          <w:tcPr>
            <w:tcW w:w="934"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9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92" w:type="dxa"/>
            <w:tcBorders/>
          </w:tcPr>
          <w:p>
            <w:pPr>
              <w:pStyle w:val="TableContents"/>
              <w:bidi w:val="0"/>
              <w:spacing w:before="0" w:after="283"/>
              <w:jc w:val="left"/>
              <w:rPr>
                <w:sz w:val="4"/>
                <w:szCs w:val="4"/>
              </w:rPr>
            </w:pPr>
            <w:r>
              <w:rPr>
                <w:sz w:val="4"/>
                <w:szCs w:val="4"/>
              </w:rPr>
            </w:r>
          </w:p>
        </w:tc>
        <w:tc>
          <w:tcPr>
            <w:tcW w:w="709"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52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exhibits and schedules to this Exhibit have been omitted in accordance with Regulation S-K Item 601(b)(2). We agree to furnish supplementally a copy of all omitted exhibits and schedules to the Securities and Exchange Commission upon its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17.</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7"/>
        <w:gridCol w:w="8372"/>
      </w:tblGrid>
      <w:tr>
        <w:trPr/>
        <w:tc>
          <w:tcPr>
            <w:tcW w:w="132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(i)</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 chapter) if, in the aggregate, the changes in volume and price represent no more than 20% change in the maximum aggregate offering price set forth in the “Calculation of Registration Fee” table in the effective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however, that: paragraphs (a)(1)(i), (ii), and (iii) of this section do not apply if the registration statement is on Form S-3 and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this Registration Statement or, as to a registration statement on Form S-3, is contained in a form of prospectus that is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4"/>
        <w:gridCol w:w="8371"/>
      </w:tblGrid>
      <w:tr>
        <w:trPr/>
        <w:tc>
          <w:tcPr>
            <w:tcW w:w="1834" w:type="dxa"/>
            <w:tcBorders/>
            <w:vAlign w:val="center"/>
          </w:tcPr>
          <w:p>
            <w:pPr>
              <w:pStyle w:val="TableContents"/>
              <w:bidi w:val="0"/>
              <w:spacing w:before="0" w:after="283"/>
              <w:jc w:val="left"/>
              <w:rPr/>
            </w:pPr>
            <w:r>
              <w:rPr/>
              <w:t> </w:t>
            </w:r>
          </w:p>
        </w:tc>
        <w:tc>
          <w:tcPr>
            <w:tcW w:w="8371" w:type="dxa"/>
            <w:tcBorders/>
          </w:tcPr>
          <w:p>
            <w:pPr>
              <w:pStyle w:val="TableContents"/>
              <w:bidi w:val="0"/>
              <w:spacing w:before="0" w:after="283"/>
              <w:jc w:val="left"/>
              <w:rPr/>
            </w:pPr>
            <w:r>
              <w:rPr/>
              <w:t xml:space="preserve">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(5)</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(iv)</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sig"/>
      <w:bookmarkEnd w:id="18"/>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this Form S-3 and has duly caused this registration statement to be signed on its behalf by the undersigned, thereunto duly authorized in the City of South San Francisco, CA on July 16,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SENTI BIOSCIENCES HOLDINGS, INC.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/s/ Timothy Lu</w:t>
            </w:r>
          </w:p>
        </w:tc>
      </w:tr>
      <w:tr>
        <w:trPr/>
        <w:tc>
          <w:tcPr>
            <w:tcW w:w="394"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Name: Timothy Lu, M.D., Ph.D.</w:t>
            </w:r>
          </w:p>
        </w:tc>
      </w:tr>
      <w:tr>
        <w:trPr/>
        <w:tc>
          <w:tcPr>
            <w:tcW w:w="3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77"/>
        <w:gridCol w:w="120"/>
        <w:gridCol w:w="3876"/>
        <w:gridCol w:w="188"/>
        <w:gridCol w:w="1844"/>
      </w:tblGrid>
      <w:tr>
        <w:trPr/>
        <w:tc>
          <w:tcPr>
            <w:tcW w:w="417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876"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r>
      <w:tr>
        <w:trPr/>
        <w:tc>
          <w:tcPr>
            <w:tcW w:w="4177" w:type="dxa"/>
            <w:tcBorders/>
            <w:vAlign w:val="bottom"/>
          </w:tcPr>
          <w:p>
            <w:pPr>
              <w:pStyle w:val="TableContents"/>
              <w:bidi w:val="0"/>
              <w:spacing w:before="0" w:after="283"/>
              <w:jc w:val="center"/>
              <w:rPr>
                <w:b/>
              </w:rPr>
            </w:pPr>
            <w:r>
              <w:rPr>
                <w:b/>
              </w:rPr>
              <w:t>Signature</w:t>
            </w:r>
          </w:p>
        </w:tc>
        <w:tc>
          <w:tcPr>
            <w:tcW w:w="120" w:type="dxa"/>
            <w:tcBorders/>
            <w:vAlign w:val="bottom"/>
          </w:tcPr>
          <w:p>
            <w:pPr>
              <w:pStyle w:val="TableContents"/>
              <w:bidi w:val="0"/>
              <w:spacing w:before="0" w:after="283"/>
              <w:jc w:val="left"/>
              <w:rPr/>
            </w:pPr>
            <w:r>
              <w:rPr/>
              <w:t>  </w:t>
            </w:r>
          </w:p>
        </w:tc>
        <w:tc>
          <w:tcPr>
            <w:tcW w:w="3876" w:type="dxa"/>
            <w:tcBorders/>
            <w:vAlign w:val="bottom"/>
          </w:tcPr>
          <w:p>
            <w:pPr>
              <w:pStyle w:val="TableContents"/>
              <w:bidi w:val="0"/>
              <w:spacing w:before="0" w:after="283"/>
              <w:jc w:val="center"/>
              <w:rPr>
                <w:b/>
              </w:rPr>
            </w:pPr>
            <w:r>
              <w:rPr>
                <w:b/>
              </w:rPr>
              <w:t>Title</w:t>
            </w:r>
          </w:p>
        </w:tc>
        <w:tc>
          <w:tcPr>
            <w:tcW w:w="188" w:type="dxa"/>
            <w:tcBorders/>
            <w:vAlign w:val="bottom"/>
          </w:tcPr>
          <w:p>
            <w:pPr>
              <w:pStyle w:val="TableContents"/>
              <w:bidi w:val="0"/>
              <w:spacing w:before="0" w:after="283"/>
              <w:jc w:val="left"/>
              <w:rPr/>
            </w:pPr>
            <w:r>
              <w:rPr/>
              <w:t> </w:t>
            </w:r>
          </w:p>
        </w:tc>
        <w:tc>
          <w:tcPr>
            <w:tcW w:w="1844" w:type="dxa"/>
            <w:tcBorders/>
            <w:vAlign w:val="bottom"/>
          </w:tcPr>
          <w:p>
            <w:pPr>
              <w:pStyle w:val="TableContents"/>
              <w:bidi w:val="0"/>
              <w:spacing w:before="0" w:after="283"/>
              <w:jc w:val="center"/>
              <w:rPr>
                <w:b/>
              </w:rPr>
            </w:pPr>
            <w:r>
              <w:rPr>
                <w:b/>
              </w:rPr>
              <w:t>Date</w:t>
            </w:r>
          </w:p>
        </w:tc>
      </w:tr>
      <w:tr>
        <w:trPr>
          <w:trHeight w:val="240" w:hRule="atLeast"/>
        </w:trPr>
        <w:tc>
          <w:tcPr>
            <w:tcW w:w="4177" w:type="dxa"/>
            <w:tcBorders/>
            <w:vAlign w:val="center"/>
          </w:tcPr>
          <w:p>
            <w:pPr>
              <w:pStyle w:val="TableContents"/>
              <w:bidi w:val="0"/>
              <w:spacing w:before="0" w:after="283"/>
              <w:jc w:val="left"/>
              <w:rPr>
                <w:sz w:val="4"/>
                <w:szCs w:val="4"/>
              </w:rPr>
            </w:pPr>
            <w:r>
              <w:rPr>
                <w:sz w:val="4"/>
                <w:szCs w:val="4"/>
              </w:rPr>
            </w:r>
          </w:p>
        </w:tc>
        <w:tc>
          <w:tcPr>
            <w:tcW w:w="3996" w:type="dxa"/>
            <w:gridSpan w:val="2"/>
            <w:tcBorders/>
            <w:vAlign w:val="center"/>
          </w:tcPr>
          <w:p>
            <w:pPr>
              <w:pStyle w:val="TableContents"/>
              <w:bidi w:val="0"/>
              <w:spacing w:before="0" w:after="283"/>
              <w:jc w:val="left"/>
              <w:rPr>
                <w:sz w:val="4"/>
                <w:szCs w:val="4"/>
              </w:rPr>
            </w:pPr>
            <w:r>
              <w:rPr>
                <w:sz w:val="4"/>
                <w:szCs w:val="4"/>
              </w:rPr>
            </w:r>
          </w:p>
        </w:tc>
        <w:tc>
          <w:tcPr>
            <w:tcW w:w="2032" w:type="dxa"/>
            <w:gridSpan w:val="2"/>
            <w:tcBorders/>
            <w:vAlign w:val="center"/>
          </w:tcPr>
          <w:p>
            <w:pPr>
              <w:pStyle w:val="TableContents"/>
              <w:bidi w:val="0"/>
              <w:spacing w:before="0" w:after="283"/>
              <w:jc w:val="left"/>
              <w:rPr>
                <w:sz w:val="4"/>
                <w:szCs w:val="4"/>
              </w:rPr>
            </w:pPr>
            <w:r>
              <w:rPr>
                <w:sz w:val="4"/>
                <w:szCs w:val="4"/>
              </w:rPr>
            </w:r>
          </w:p>
        </w:tc>
      </w:tr>
      <w:tr>
        <w:trPr/>
        <w:tc>
          <w:tcPr>
            <w:tcW w:w="417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Timothy Lu, M.D., Ph.D.</w:t>
            </w:r>
          </w:p>
        </w:tc>
        <w:tc>
          <w:tcPr>
            <w:tcW w:w="120" w:type="dxa"/>
            <w:tcBorders/>
            <w:vAlign w:val="bottom"/>
          </w:tcPr>
          <w:p>
            <w:pPr>
              <w:pStyle w:val="TableContents"/>
              <w:bidi w:val="0"/>
              <w:spacing w:before="0" w:after="283"/>
              <w:jc w:val="left"/>
              <w:rPr/>
            </w:pPr>
            <w:r>
              <w:rPr/>
              <w:t>  </w:t>
            </w:r>
          </w:p>
        </w:tc>
        <w:tc>
          <w:tcPr>
            <w:tcW w:w="3876"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188" w:type="dxa"/>
            <w:tcBorders/>
            <w:vAlign w:val="bottom"/>
          </w:tcPr>
          <w:p>
            <w:pPr>
              <w:pStyle w:val="TableContents"/>
              <w:bidi w:val="0"/>
              <w:spacing w:before="0" w:after="283"/>
              <w:jc w:val="left"/>
              <w:rPr/>
            </w:pPr>
            <w:r>
              <w:rPr/>
              <w:t> </w:t>
            </w:r>
          </w:p>
        </w:tc>
        <w:tc>
          <w:tcPr>
            <w:tcW w:w="1844" w:type="dxa"/>
            <w:tcBorders/>
          </w:tcPr>
          <w:p>
            <w:pPr>
              <w:pStyle w:val="TableContents"/>
              <w:bidi w:val="0"/>
              <w:spacing w:before="0" w:after="283"/>
              <w:jc w:val="center"/>
              <w:rPr/>
            </w:pPr>
            <w:r>
              <w:rPr/>
              <w:t>July 16, 2026</w:t>
            </w:r>
          </w:p>
        </w:tc>
      </w:tr>
      <w:tr>
        <w:trPr>
          <w:trHeight w:val="240" w:hRule="atLeast"/>
        </w:trPr>
        <w:tc>
          <w:tcPr>
            <w:tcW w:w="4177" w:type="dxa"/>
            <w:tcBorders/>
            <w:vAlign w:val="center"/>
          </w:tcPr>
          <w:p>
            <w:pPr>
              <w:pStyle w:val="TableContents"/>
              <w:bidi w:val="0"/>
              <w:spacing w:before="0" w:after="283"/>
              <w:jc w:val="left"/>
              <w:rPr>
                <w:sz w:val="4"/>
                <w:szCs w:val="4"/>
              </w:rPr>
            </w:pPr>
            <w:r>
              <w:rPr>
                <w:sz w:val="4"/>
                <w:szCs w:val="4"/>
              </w:rPr>
            </w:r>
          </w:p>
        </w:tc>
        <w:tc>
          <w:tcPr>
            <w:tcW w:w="3996" w:type="dxa"/>
            <w:gridSpan w:val="2"/>
            <w:tcBorders/>
            <w:vAlign w:val="center"/>
          </w:tcPr>
          <w:p>
            <w:pPr>
              <w:pStyle w:val="TableContents"/>
              <w:bidi w:val="0"/>
              <w:spacing w:before="0" w:after="283"/>
              <w:jc w:val="left"/>
              <w:rPr>
                <w:sz w:val="4"/>
                <w:szCs w:val="4"/>
              </w:rPr>
            </w:pPr>
            <w:r>
              <w:rPr>
                <w:sz w:val="4"/>
                <w:szCs w:val="4"/>
              </w:rPr>
            </w:r>
          </w:p>
        </w:tc>
        <w:tc>
          <w:tcPr>
            <w:tcW w:w="2032" w:type="dxa"/>
            <w:gridSpan w:val="2"/>
            <w:tcBorders/>
            <w:vAlign w:val="center"/>
          </w:tcPr>
          <w:p>
            <w:pPr>
              <w:pStyle w:val="TableContents"/>
              <w:bidi w:val="0"/>
              <w:spacing w:before="0" w:after="283"/>
              <w:jc w:val="left"/>
              <w:rPr>
                <w:sz w:val="4"/>
                <w:szCs w:val="4"/>
              </w:rPr>
            </w:pPr>
            <w:r>
              <w:rPr>
                <w:sz w:val="4"/>
                <w:szCs w:val="4"/>
              </w:rPr>
            </w:r>
          </w:p>
        </w:tc>
      </w:tr>
      <w:tr>
        <w:trPr/>
        <w:tc>
          <w:tcPr>
            <w:tcW w:w="417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Jay Cross</w:t>
            </w:r>
          </w:p>
        </w:tc>
        <w:tc>
          <w:tcPr>
            <w:tcW w:w="120" w:type="dxa"/>
            <w:tcBorders/>
            <w:vAlign w:val="bottom"/>
          </w:tcPr>
          <w:p>
            <w:pPr>
              <w:pStyle w:val="TableContents"/>
              <w:bidi w:val="0"/>
              <w:spacing w:before="0" w:after="283"/>
              <w:jc w:val="left"/>
              <w:rPr/>
            </w:pPr>
            <w:r>
              <w:rPr/>
              <w:t>  </w:t>
            </w:r>
          </w:p>
        </w:tc>
        <w:tc>
          <w:tcPr>
            <w:tcW w:w="3876"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r>
          </w:p>
          <w:p>
            <w:pPr>
              <w:pStyle w:val="TableContents"/>
              <w:bidi w:val="0"/>
              <w:spacing w:before="0" w:after="0"/>
              <w:jc w:val="center"/>
              <w:rPr>
                <w:rFonts w:ascii="Times New Roman" w:hAnsi="Times New Roman"/>
                <w:sz w:val="20"/>
              </w:rPr>
            </w:pPr>
            <w:r>
              <w:rPr>
                <w:rFonts w:ascii="Times New Roman" w:hAnsi="Times New Roman"/>
                <w:sz w:val="20"/>
              </w:rPr>
              <w:t>(Principal Financial Officer and</w:t>
            </w:r>
          </w:p>
          <w:p>
            <w:pPr>
              <w:pStyle w:val="TableContents"/>
              <w:bidi w:val="0"/>
              <w:spacing w:before="0" w:after="20"/>
              <w:jc w:val="center"/>
              <w:rPr>
                <w:rFonts w:ascii="Times New Roman" w:hAnsi="Times New Roman"/>
                <w:sz w:val="20"/>
              </w:rPr>
            </w:pPr>
            <w:r>
              <w:rPr>
                <w:rFonts w:ascii="Times New Roman" w:hAnsi="Times New Roman"/>
                <w:sz w:val="20"/>
              </w:rPr>
              <w:t>Principal Accounting Officer)</w:t>
            </w:r>
          </w:p>
        </w:tc>
        <w:tc>
          <w:tcPr>
            <w:tcW w:w="188" w:type="dxa"/>
            <w:tcBorders/>
            <w:vAlign w:val="bottom"/>
          </w:tcPr>
          <w:p>
            <w:pPr>
              <w:pStyle w:val="TableContents"/>
              <w:bidi w:val="0"/>
              <w:spacing w:before="0" w:after="283"/>
              <w:jc w:val="left"/>
              <w:rPr/>
            </w:pPr>
            <w:r>
              <w:rPr/>
              <w:t> </w:t>
            </w:r>
          </w:p>
        </w:tc>
        <w:tc>
          <w:tcPr>
            <w:tcW w:w="1844" w:type="dxa"/>
            <w:tcBorders/>
          </w:tcPr>
          <w:p>
            <w:pPr>
              <w:pStyle w:val="TableContents"/>
              <w:bidi w:val="0"/>
              <w:spacing w:before="0" w:after="283"/>
              <w:jc w:val="center"/>
              <w:rPr/>
            </w:pPr>
            <w:r>
              <w:rPr/>
              <w:t>July 16, 2026</w:t>
            </w:r>
          </w:p>
        </w:tc>
      </w:tr>
      <w:tr>
        <w:trPr>
          <w:trHeight w:val="240" w:hRule="atLeast"/>
        </w:trPr>
        <w:tc>
          <w:tcPr>
            <w:tcW w:w="4177" w:type="dxa"/>
            <w:tcBorders/>
            <w:vAlign w:val="center"/>
          </w:tcPr>
          <w:p>
            <w:pPr>
              <w:pStyle w:val="TableContents"/>
              <w:bidi w:val="0"/>
              <w:spacing w:before="0" w:after="283"/>
              <w:jc w:val="left"/>
              <w:rPr>
                <w:sz w:val="4"/>
                <w:szCs w:val="4"/>
              </w:rPr>
            </w:pPr>
            <w:r>
              <w:rPr>
                <w:sz w:val="4"/>
                <w:szCs w:val="4"/>
              </w:rPr>
            </w:r>
          </w:p>
        </w:tc>
        <w:tc>
          <w:tcPr>
            <w:tcW w:w="3996" w:type="dxa"/>
            <w:gridSpan w:val="2"/>
            <w:tcBorders/>
            <w:vAlign w:val="center"/>
          </w:tcPr>
          <w:p>
            <w:pPr>
              <w:pStyle w:val="TableContents"/>
              <w:bidi w:val="0"/>
              <w:spacing w:before="0" w:after="283"/>
              <w:jc w:val="left"/>
              <w:rPr>
                <w:sz w:val="4"/>
                <w:szCs w:val="4"/>
              </w:rPr>
            </w:pPr>
            <w:r>
              <w:rPr>
                <w:sz w:val="4"/>
                <w:szCs w:val="4"/>
              </w:rPr>
            </w:r>
          </w:p>
        </w:tc>
        <w:tc>
          <w:tcPr>
            <w:tcW w:w="2032" w:type="dxa"/>
            <w:gridSpan w:val="2"/>
            <w:tcBorders/>
            <w:vAlign w:val="center"/>
          </w:tcPr>
          <w:p>
            <w:pPr>
              <w:pStyle w:val="TableContents"/>
              <w:bidi w:val="0"/>
              <w:spacing w:before="0" w:after="283"/>
              <w:jc w:val="left"/>
              <w:rPr>
                <w:sz w:val="4"/>
                <w:szCs w:val="4"/>
              </w:rPr>
            </w:pPr>
            <w:r>
              <w:rPr>
                <w:sz w:val="4"/>
                <w:szCs w:val="4"/>
              </w:rPr>
            </w:r>
          </w:p>
        </w:tc>
      </w:tr>
      <w:tr>
        <w:trPr/>
        <w:tc>
          <w:tcPr>
            <w:tcW w:w="417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Bryan Baum</w:t>
            </w:r>
          </w:p>
        </w:tc>
        <w:tc>
          <w:tcPr>
            <w:tcW w:w="120" w:type="dxa"/>
            <w:tcBorders/>
            <w:vAlign w:val="bottom"/>
          </w:tcPr>
          <w:p>
            <w:pPr>
              <w:pStyle w:val="TableContents"/>
              <w:bidi w:val="0"/>
              <w:spacing w:before="0" w:after="283"/>
              <w:jc w:val="left"/>
              <w:rPr/>
            </w:pPr>
            <w:r>
              <w:rPr/>
              <w:t>  </w:t>
            </w:r>
          </w:p>
        </w:tc>
        <w:tc>
          <w:tcPr>
            <w:tcW w:w="3876" w:type="dxa"/>
            <w:tcBorders/>
          </w:tcPr>
          <w:p>
            <w:pPr>
              <w:pStyle w:val="TableContents"/>
              <w:bidi w:val="0"/>
              <w:spacing w:before="0" w:after="283"/>
              <w:jc w:val="center"/>
              <w:rPr/>
            </w:pPr>
            <w:r>
              <w:rPr/>
              <w:t>Director</w:t>
            </w:r>
          </w:p>
        </w:tc>
        <w:tc>
          <w:tcPr>
            <w:tcW w:w="188" w:type="dxa"/>
            <w:tcBorders/>
            <w:vAlign w:val="bottom"/>
          </w:tcPr>
          <w:p>
            <w:pPr>
              <w:pStyle w:val="TableContents"/>
              <w:bidi w:val="0"/>
              <w:spacing w:before="0" w:after="283"/>
              <w:jc w:val="left"/>
              <w:rPr/>
            </w:pPr>
            <w:r>
              <w:rPr/>
              <w:t> </w:t>
            </w:r>
          </w:p>
        </w:tc>
        <w:tc>
          <w:tcPr>
            <w:tcW w:w="1844" w:type="dxa"/>
            <w:tcBorders/>
          </w:tcPr>
          <w:p>
            <w:pPr>
              <w:pStyle w:val="TableContents"/>
              <w:bidi w:val="0"/>
              <w:spacing w:before="0" w:after="283"/>
              <w:jc w:val="center"/>
              <w:rPr/>
            </w:pPr>
            <w:r>
              <w:rPr/>
              <w:t>July 16, 2026</w:t>
            </w:r>
          </w:p>
        </w:tc>
      </w:tr>
      <w:tr>
        <w:trPr>
          <w:trHeight w:val="240" w:hRule="atLeast"/>
        </w:trPr>
        <w:tc>
          <w:tcPr>
            <w:tcW w:w="4177" w:type="dxa"/>
            <w:tcBorders/>
            <w:vAlign w:val="center"/>
          </w:tcPr>
          <w:p>
            <w:pPr>
              <w:pStyle w:val="TableContents"/>
              <w:bidi w:val="0"/>
              <w:spacing w:before="0" w:after="283"/>
              <w:jc w:val="left"/>
              <w:rPr>
                <w:sz w:val="4"/>
                <w:szCs w:val="4"/>
              </w:rPr>
            </w:pPr>
            <w:r>
              <w:rPr>
                <w:sz w:val="4"/>
                <w:szCs w:val="4"/>
              </w:rPr>
            </w:r>
          </w:p>
        </w:tc>
        <w:tc>
          <w:tcPr>
            <w:tcW w:w="3996" w:type="dxa"/>
            <w:gridSpan w:val="2"/>
            <w:tcBorders/>
            <w:vAlign w:val="center"/>
          </w:tcPr>
          <w:p>
            <w:pPr>
              <w:pStyle w:val="TableContents"/>
              <w:bidi w:val="0"/>
              <w:spacing w:before="0" w:after="283"/>
              <w:jc w:val="left"/>
              <w:rPr>
                <w:sz w:val="4"/>
                <w:szCs w:val="4"/>
              </w:rPr>
            </w:pPr>
            <w:r>
              <w:rPr>
                <w:sz w:val="4"/>
                <w:szCs w:val="4"/>
              </w:rPr>
            </w:r>
          </w:p>
        </w:tc>
        <w:tc>
          <w:tcPr>
            <w:tcW w:w="2032" w:type="dxa"/>
            <w:gridSpan w:val="2"/>
            <w:tcBorders/>
            <w:vAlign w:val="center"/>
          </w:tcPr>
          <w:p>
            <w:pPr>
              <w:pStyle w:val="TableContents"/>
              <w:bidi w:val="0"/>
              <w:spacing w:before="0" w:after="283"/>
              <w:jc w:val="left"/>
              <w:rPr>
                <w:sz w:val="4"/>
                <w:szCs w:val="4"/>
              </w:rPr>
            </w:pPr>
            <w:r>
              <w:rPr>
                <w:sz w:val="4"/>
                <w:szCs w:val="4"/>
              </w:rPr>
            </w:r>
          </w:p>
        </w:tc>
      </w:tr>
      <w:tr>
        <w:trPr/>
        <w:tc>
          <w:tcPr>
            <w:tcW w:w="417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James (Jim) Collins, Ph.D.</w:t>
            </w:r>
          </w:p>
        </w:tc>
        <w:tc>
          <w:tcPr>
            <w:tcW w:w="120" w:type="dxa"/>
            <w:tcBorders/>
            <w:vAlign w:val="bottom"/>
          </w:tcPr>
          <w:p>
            <w:pPr>
              <w:pStyle w:val="TableContents"/>
              <w:bidi w:val="0"/>
              <w:spacing w:before="0" w:after="283"/>
              <w:jc w:val="left"/>
              <w:rPr/>
            </w:pPr>
            <w:r>
              <w:rPr/>
              <w:t>  </w:t>
            </w:r>
          </w:p>
        </w:tc>
        <w:tc>
          <w:tcPr>
            <w:tcW w:w="3876" w:type="dxa"/>
            <w:tcBorders/>
          </w:tcPr>
          <w:p>
            <w:pPr>
              <w:pStyle w:val="TableContents"/>
              <w:bidi w:val="0"/>
              <w:spacing w:before="0" w:after="283"/>
              <w:jc w:val="center"/>
              <w:rPr/>
            </w:pPr>
            <w:r>
              <w:rPr/>
              <w:t>Director</w:t>
            </w:r>
          </w:p>
        </w:tc>
        <w:tc>
          <w:tcPr>
            <w:tcW w:w="188" w:type="dxa"/>
            <w:tcBorders/>
            <w:vAlign w:val="bottom"/>
          </w:tcPr>
          <w:p>
            <w:pPr>
              <w:pStyle w:val="TableContents"/>
              <w:bidi w:val="0"/>
              <w:spacing w:before="0" w:after="283"/>
              <w:jc w:val="left"/>
              <w:rPr/>
            </w:pPr>
            <w:r>
              <w:rPr/>
              <w:t> </w:t>
            </w:r>
          </w:p>
        </w:tc>
        <w:tc>
          <w:tcPr>
            <w:tcW w:w="1844" w:type="dxa"/>
            <w:tcBorders/>
          </w:tcPr>
          <w:p>
            <w:pPr>
              <w:pStyle w:val="TableContents"/>
              <w:bidi w:val="0"/>
              <w:spacing w:before="0" w:after="283"/>
              <w:jc w:val="center"/>
              <w:rPr/>
            </w:pPr>
            <w:r>
              <w:rPr/>
              <w:t>July 16, 2026</w:t>
            </w:r>
          </w:p>
        </w:tc>
      </w:tr>
      <w:tr>
        <w:trPr>
          <w:trHeight w:val="240" w:hRule="atLeast"/>
        </w:trPr>
        <w:tc>
          <w:tcPr>
            <w:tcW w:w="4177" w:type="dxa"/>
            <w:tcBorders/>
            <w:vAlign w:val="center"/>
          </w:tcPr>
          <w:p>
            <w:pPr>
              <w:pStyle w:val="TableContents"/>
              <w:bidi w:val="0"/>
              <w:spacing w:before="0" w:after="283"/>
              <w:jc w:val="left"/>
              <w:rPr>
                <w:sz w:val="4"/>
                <w:szCs w:val="4"/>
              </w:rPr>
            </w:pPr>
            <w:r>
              <w:rPr>
                <w:sz w:val="4"/>
                <w:szCs w:val="4"/>
              </w:rPr>
            </w:r>
          </w:p>
        </w:tc>
        <w:tc>
          <w:tcPr>
            <w:tcW w:w="3996" w:type="dxa"/>
            <w:gridSpan w:val="2"/>
            <w:tcBorders/>
            <w:vAlign w:val="center"/>
          </w:tcPr>
          <w:p>
            <w:pPr>
              <w:pStyle w:val="TableContents"/>
              <w:bidi w:val="0"/>
              <w:spacing w:before="0" w:after="283"/>
              <w:jc w:val="left"/>
              <w:rPr>
                <w:sz w:val="4"/>
                <w:szCs w:val="4"/>
              </w:rPr>
            </w:pPr>
            <w:r>
              <w:rPr>
                <w:sz w:val="4"/>
                <w:szCs w:val="4"/>
              </w:rPr>
            </w:r>
          </w:p>
        </w:tc>
        <w:tc>
          <w:tcPr>
            <w:tcW w:w="2032" w:type="dxa"/>
            <w:gridSpan w:val="2"/>
            <w:tcBorders/>
            <w:vAlign w:val="center"/>
          </w:tcPr>
          <w:p>
            <w:pPr>
              <w:pStyle w:val="TableContents"/>
              <w:bidi w:val="0"/>
              <w:spacing w:before="0" w:after="283"/>
              <w:jc w:val="left"/>
              <w:rPr>
                <w:sz w:val="4"/>
                <w:szCs w:val="4"/>
              </w:rPr>
            </w:pPr>
            <w:r>
              <w:rPr>
                <w:sz w:val="4"/>
                <w:szCs w:val="4"/>
              </w:rPr>
            </w:r>
          </w:p>
        </w:tc>
      </w:tr>
      <w:tr>
        <w:trPr/>
        <w:tc>
          <w:tcPr>
            <w:tcW w:w="417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Brenda Cooperstone, M.D.</w:t>
            </w:r>
          </w:p>
        </w:tc>
        <w:tc>
          <w:tcPr>
            <w:tcW w:w="120" w:type="dxa"/>
            <w:tcBorders/>
            <w:vAlign w:val="bottom"/>
          </w:tcPr>
          <w:p>
            <w:pPr>
              <w:pStyle w:val="TableContents"/>
              <w:bidi w:val="0"/>
              <w:spacing w:before="0" w:after="283"/>
              <w:jc w:val="left"/>
              <w:rPr/>
            </w:pPr>
            <w:r>
              <w:rPr/>
              <w:t>  </w:t>
            </w:r>
          </w:p>
        </w:tc>
        <w:tc>
          <w:tcPr>
            <w:tcW w:w="3876" w:type="dxa"/>
            <w:tcBorders/>
          </w:tcPr>
          <w:p>
            <w:pPr>
              <w:pStyle w:val="TableContents"/>
              <w:bidi w:val="0"/>
              <w:spacing w:before="0" w:after="283"/>
              <w:jc w:val="center"/>
              <w:rPr/>
            </w:pPr>
            <w:r>
              <w:rPr/>
              <w:t>Director</w:t>
            </w:r>
          </w:p>
        </w:tc>
        <w:tc>
          <w:tcPr>
            <w:tcW w:w="188" w:type="dxa"/>
            <w:tcBorders/>
            <w:vAlign w:val="bottom"/>
          </w:tcPr>
          <w:p>
            <w:pPr>
              <w:pStyle w:val="TableContents"/>
              <w:bidi w:val="0"/>
              <w:spacing w:before="0" w:after="283"/>
              <w:jc w:val="left"/>
              <w:rPr/>
            </w:pPr>
            <w:r>
              <w:rPr/>
              <w:t> </w:t>
            </w:r>
          </w:p>
        </w:tc>
        <w:tc>
          <w:tcPr>
            <w:tcW w:w="1844" w:type="dxa"/>
            <w:tcBorders/>
          </w:tcPr>
          <w:p>
            <w:pPr>
              <w:pStyle w:val="TableContents"/>
              <w:bidi w:val="0"/>
              <w:spacing w:before="0" w:after="283"/>
              <w:jc w:val="center"/>
              <w:rPr/>
            </w:pPr>
            <w:r>
              <w:rPr/>
              <w:t>July 16, 2026</w:t>
            </w:r>
          </w:p>
        </w:tc>
      </w:tr>
      <w:tr>
        <w:trPr>
          <w:trHeight w:val="240" w:hRule="atLeast"/>
        </w:trPr>
        <w:tc>
          <w:tcPr>
            <w:tcW w:w="4177" w:type="dxa"/>
            <w:tcBorders/>
            <w:vAlign w:val="center"/>
          </w:tcPr>
          <w:p>
            <w:pPr>
              <w:pStyle w:val="TableContents"/>
              <w:bidi w:val="0"/>
              <w:spacing w:before="0" w:after="283"/>
              <w:jc w:val="left"/>
              <w:rPr>
                <w:sz w:val="4"/>
                <w:szCs w:val="4"/>
              </w:rPr>
            </w:pPr>
            <w:r>
              <w:rPr>
                <w:sz w:val="4"/>
                <w:szCs w:val="4"/>
              </w:rPr>
            </w:r>
          </w:p>
        </w:tc>
        <w:tc>
          <w:tcPr>
            <w:tcW w:w="3996" w:type="dxa"/>
            <w:gridSpan w:val="2"/>
            <w:tcBorders/>
            <w:vAlign w:val="center"/>
          </w:tcPr>
          <w:p>
            <w:pPr>
              <w:pStyle w:val="TableContents"/>
              <w:bidi w:val="0"/>
              <w:spacing w:before="0" w:after="283"/>
              <w:jc w:val="left"/>
              <w:rPr>
                <w:sz w:val="4"/>
                <w:szCs w:val="4"/>
              </w:rPr>
            </w:pPr>
            <w:r>
              <w:rPr>
                <w:sz w:val="4"/>
                <w:szCs w:val="4"/>
              </w:rPr>
            </w:r>
          </w:p>
        </w:tc>
        <w:tc>
          <w:tcPr>
            <w:tcW w:w="2032" w:type="dxa"/>
            <w:gridSpan w:val="2"/>
            <w:tcBorders/>
            <w:vAlign w:val="center"/>
          </w:tcPr>
          <w:p>
            <w:pPr>
              <w:pStyle w:val="TableContents"/>
              <w:bidi w:val="0"/>
              <w:spacing w:before="0" w:after="283"/>
              <w:jc w:val="left"/>
              <w:rPr>
                <w:sz w:val="4"/>
                <w:szCs w:val="4"/>
              </w:rPr>
            </w:pPr>
            <w:r>
              <w:rPr>
                <w:sz w:val="4"/>
                <w:szCs w:val="4"/>
              </w:rPr>
            </w:r>
          </w:p>
        </w:tc>
      </w:tr>
      <w:tr>
        <w:trPr/>
        <w:tc>
          <w:tcPr>
            <w:tcW w:w="417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Feng Hsiung</w:t>
            </w:r>
          </w:p>
        </w:tc>
        <w:tc>
          <w:tcPr>
            <w:tcW w:w="120" w:type="dxa"/>
            <w:tcBorders/>
            <w:vAlign w:val="bottom"/>
          </w:tcPr>
          <w:p>
            <w:pPr>
              <w:pStyle w:val="TableContents"/>
              <w:bidi w:val="0"/>
              <w:spacing w:before="0" w:after="283"/>
              <w:jc w:val="left"/>
              <w:rPr/>
            </w:pPr>
            <w:r>
              <w:rPr/>
              <w:t>  </w:t>
            </w:r>
          </w:p>
        </w:tc>
        <w:tc>
          <w:tcPr>
            <w:tcW w:w="3876" w:type="dxa"/>
            <w:tcBorders/>
          </w:tcPr>
          <w:p>
            <w:pPr>
              <w:pStyle w:val="TableContents"/>
              <w:bidi w:val="0"/>
              <w:spacing w:before="0" w:after="283"/>
              <w:jc w:val="center"/>
              <w:rPr/>
            </w:pPr>
            <w:r>
              <w:rPr/>
              <w:t>Director</w:t>
            </w:r>
          </w:p>
        </w:tc>
        <w:tc>
          <w:tcPr>
            <w:tcW w:w="188" w:type="dxa"/>
            <w:tcBorders/>
            <w:vAlign w:val="bottom"/>
          </w:tcPr>
          <w:p>
            <w:pPr>
              <w:pStyle w:val="TableContents"/>
              <w:bidi w:val="0"/>
              <w:spacing w:before="0" w:after="283"/>
              <w:jc w:val="left"/>
              <w:rPr/>
            </w:pPr>
            <w:r>
              <w:rPr/>
              <w:t> </w:t>
            </w:r>
          </w:p>
        </w:tc>
        <w:tc>
          <w:tcPr>
            <w:tcW w:w="1844" w:type="dxa"/>
            <w:tcBorders/>
          </w:tcPr>
          <w:p>
            <w:pPr>
              <w:pStyle w:val="TableContents"/>
              <w:bidi w:val="0"/>
              <w:spacing w:before="0" w:after="283"/>
              <w:jc w:val="center"/>
              <w:rPr/>
            </w:pPr>
            <w:r>
              <w:rPr/>
              <w:t>July 16, 2026</w:t>
            </w:r>
          </w:p>
        </w:tc>
      </w:tr>
      <w:tr>
        <w:trPr>
          <w:trHeight w:val="240" w:hRule="atLeast"/>
        </w:trPr>
        <w:tc>
          <w:tcPr>
            <w:tcW w:w="4177" w:type="dxa"/>
            <w:tcBorders/>
            <w:vAlign w:val="center"/>
          </w:tcPr>
          <w:p>
            <w:pPr>
              <w:pStyle w:val="TableContents"/>
              <w:bidi w:val="0"/>
              <w:spacing w:before="0" w:after="283"/>
              <w:jc w:val="left"/>
              <w:rPr>
                <w:sz w:val="4"/>
                <w:szCs w:val="4"/>
              </w:rPr>
            </w:pPr>
            <w:r>
              <w:rPr>
                <w:sz w:val="4"/>
                <w:szCs w:val="4"/>
              </w:rPr>
            </w:r>
          </w:p>
        </w:tc>
        <w:tc>
          <w:tcPr>
            <w:tcW w:w="3996" w:type="dxa"/>
            <w:gridSpan w:val="2"/>
            <w:tcBorders/>
            <w:vAlign w:val="center"/>
          </w:tcPr>
          <w:p>
            <w:pPr>
              <w:pStyle w:val="TableContents"/>
              <w:bidi w:val="0"/>
              <w:spacing w:before="0" w:after="283"/>
              <w:jc w:val="left"/>
              <w:rPr>
                <w:sz w:val="4"/>
                <w:szCs w:val="4"/>
              </w:rPr>
            </w:pPr>
            <w:r>
              <w:rPr>
                <w:sz w:val="4"/>
                <w:szCs w:val="4"/>
              </w:rPr>
            </w:r>
          </w:p>
        </w:tc>
        <w:tc>
          <w:tcPr>
            <w:tcW w:w="2032" w:type="dxa"/>
            <w:gridSpan w:val="2"/>
            <w:tcBorders/>
            <w:vAlign w:val="center"/>
          </w:tcPr>
          <w:p>
            <w:pPr>
              <w:pStyle w:val="TableContents"/>
              <w:bidi w:val="0"/>
              <w:spacing w:before="0" w:after="283"/>
              <w:jc w:val="left"/>
              <w:rPr>
                <w:sz w:val="4"/>
                <w:szCs w:val="4"/>
              </w:rPr>
            </w:pPr>
            <w:r>
              <w:rPr>
                <w:sz w:val="4"/>
                <w:szCs w:val="4"/>
              </w:rPr>
            </w:r>
          </w:p>
        </w:tc>
      </w:tr>
      <w:tr>
        <w:trPr/>
        <w:tc>
          <w:tcPr>
            <w:tcW w:w="417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Edward Mathers</w:t>
            </w:r>
          </w:p>
        </w:tc>
        <w:tc>
          <w:tcPr>
            <w:tcW w:w="120" w:type="dxa"/>
            <w:tcBorders/>
            <w:vAlign w:val="bottom"/>
          </w:tcPr>
          <w:p>
            <w:pPr>
              <w:pStyle w:val="TableContents"/>
              <w:bidi w:val="0"/>
              <w:spacing w:before="0" w:after="283"/>
              <w:jc w:val="left"/>
              <w:rPr/>
            </w:pPr>
            <w:r>
              <w:rPr/>
              <w:t>  </w:t>
            </w:r>
          </w:p>
        </w:tc>
        <w:tc>
          <w:tcPr>
            <w:tcW w:w="3876" w:type="dxa"/>
            <w:tcBorders/>
          </w:tcPr>
          <w:p>
            <w:pPr>
              <w:pStyle w:val="TableContents"/>
              <w:bidi w:val="0"/>
              <w:spacing w:before="0" w:after="283"/>
              <w:jc w:val="center"/>
              <w:rPr/>
            </w:pPr>
            <w:r>
              <w:rPr/>
              <w:t>Director</w:t>
            </w:r>
          </w:p>
        </w:tc>
        <w:tc>
          <w:tcPr>
            <w:tcW w:w="188" w:type="dxa"/>
            <w:tcBorders/>
            <w:vAlign w:val="bottom"/>
          </w:tcPr>
          <w:p>
            <w:pPr>
              <w:pStyle w:val="TableContents"/>
              <w:bidi w:val="0"/>
              <w:spacing w:before="0" w:after="283"/>
              <w:jc w:val="left"/>
              <w:rPr/>
            </w:pPr>
            <w:r>
              <w:rPr/>
              <w:t> </w:t>
            </w:r>
          </w:p>
        </w:tc>
        <w:tc>
          <w:tcPr>
            <w:tcW w:w="1844" w:type="dxa"/>
            <w:tcBorders/>
          </w:tcPr>
          <w:p>
            <w:pPr>
              <w:pStyle w:val="TableContents"/>
              <w:bidi w:val="0"/>
              <w:spacing w:before="0" w:after="283"/>
              <w:jc w:val="center"/>
              <w:rPr/>
            </w:pPr>
            <w:r>
              <w:rPr/>
              <w:t>July 16, 2026</w:t>
            </w:r>
          </w:p>
        </w:tc>
      </w:tr>
      <w:tr>
        <w:trPr>
          <w:trHeight w:val="240" w:hRule="atLeast"/>
        </w:trPr>
        <w:tc>
          <w:tcPr>
            <w:tcW w:w="4177" w:type="dxa"/>
            <w:tcBorders/>
            <w:vAlign w:val="center"/>
          </w:tcPr>
          <w:p>
            <w:pPr>
              <w:pStyle w:val="TableContents"/>
              <w:bidi w:val="0"/>
              <w:spacing w:before="0" w:after="283"/>
              <w:jc w:val="left"/>
              <w:rPr>
                <w:sz w:val="4"/>
                <w:szCs w:val="4"/>
              </w:rPr>
            </w:pPr>
            <w:r>
              <w:rPr>
                <w:sz w:val="4"/>
                <w:szCs w:val="4"/>
              </w:rPr>
            </w:r>
          </w:p>
        </w:tc>
        <w:tc>
          <w:tcPr>
            <w:tcW w:w="3996" w:type="dxa"/>
            <w:gridSpan w:val="2"/>
            <w:tcBorders/>
            <w:vAlign w:val="center"/>
          </w:tcPr>
          <w:p>
            <w:pPr>
              <w:pStyle w:val="TableContents"/>
              <w:bidi w:val="0"/>
              <w:spacing w:before="0" w:after="283"/>
              <w:jc w:val="left"/>
              <w:rPr>
                <w:sz w:val="4"/>
                <w:szCs w:val="4"/>
              </w:rPr>
            </w:pPr>
            <w:r>
              <w:rPr>
                <w:sz w:val="4"/>
                <w:szCs w:val="4"/>
              </w:rPr>
            </w:r>
          </w:p>
        </w:tc>
        <w:tc>
          <w:tcPr>
            <w:tcW w:w="2032" w:type="dxa"/>
            <w:gridSpan w:val="2"/>
            <w:tcBorders/>
            <w:vAlign w:val="center"/>
          </w:tcPr>
          <w:p>
            <w:pPr>
              <w:pStyle w:val="TableContents"/>
              <w:bidi w:val="0"/>
              <w:spacing w:before="0" w:after="283"/>
              <w:jc w:val="left"/>
              <w:rPr>
                <w:sz w:val="4"/>
                <w:szCs w:val="4"/>
              </w:rPr>
            </w:pPr>
            <w:r>
              <w:rPr>
                <w:sz w:val="4"/>
                <w:szCs w:val="4"/>
              </w:rPr>
            </w:r>
          </w:p>
        </w:tc>
      </w:tr>
      <w:tr>
        <w:trPr/>
        <w:tc>
          <w:tcPr>
            <w:tcW w:w="417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Frances D. Schulz</w:t>
            </w:r>
          </w:p>
        </w:tc>
        <w:tc>
          <w:tcPr>
            <w:tcW w:w="120" w:type="dxa"/>
            <w:tcBorders/>
            <w:vAlign w:val="bottom"/>
          </w:tcPr>
          <w:p>
            <w:pPr>
              <w:pStyle w:val="TableContents"/>
              <w:bidi w:val="0"/>
              <w:spacing w:before="0" w:after="283"/>
              <w:jc w:val="left"/>
              <w:rPr/>
            </w:pPr>
            <w:r>
              <w:rPr/>
              <w:t>  </w:t>
            </w:r>
          </w:p>
        </w:tc>
        <w:tc>
          <w:tcPr>
            <w:tcW w:w="3876" w:type="dxa"/>
            <w:tcBorders/>
          </w:tcPr>
          <w:p>
            <w:pPr>
              <w:pStyle w:val="TableContents"/>
              <w:bidi w:val="0"/>
              <w:spacing w:before="0" w:after="283"/>
              <w:jc w:val="center"/>
              <w:rPr/>
            </w:pPr>
            <w:r>
              <w:rPr/>
              <w:t>Director</w:t>
            </w:r>
          </w:p>
        </w:tc>
        <w:tc>
          <w:tcPr>
            <w:tcW w:w="188" w:type="dxa"/>
            <w:tcBorders/>
            <w:vAlign w:val="bottom"/>
          </w:tcPr>
          <w:p>
            <w:pPr>
              <w:pStyle w:val="TableContents"/>
              <w:bidi w:val="0"/>
              <w:spacing w:before="0" w:after="283"/>
              <w:jc w:val="left"/>
              <w:rPr/>
            </w:pPr>
            <w:r>
              <w:rPr/>
              <w:t> </w:t>
            </w:r>
          </w:p>
        </w:tc>
        <w:tc>
          <w:tcPr>
            <w:tcW w:w="1844" w:type="dxa"/>
            <w:tcBorders/>
          </w:tcPr>
          <w:p>
            <w:pPr>
              <w:pStyle w:val="TableContents"/>
              <w:bidi w:val="0"/>
              <w:spacing w:before="0" w:after="283"/>
              <w:jc w:val="center"/>
              <w:rPr/>
            </w:pPr>
            <w:r>
              <w:rPr/>
              <w:t>July 16, 2026</w:t>
            </w:r>
          </w:p>
        </w:tc>
      </w:tr>
      <w:tr>
        <w:trPr>
          <w:trHeight w:val="240" w:hRule="atLeast"/>
        </w:trPr>
        <w:tc>
          <w:tcPr>
            <w:tcW w:w="4177" w:type="dxa"/>
            <w:tcBorders/>
            <w:vAlign w:val="center"/>
          </w:tcPr>
          <w:p>
            <w:pPr>
              <w:pStyle w:val="TableContents"/>
              <w:bidi w:val="0"/>
              <w:spacing w:before="0" w:after="283"/>
              <w:jc w:val="left"/>
              <w:rPr>
                <w:sz w:val="4"/>
                <w:szCs w:val="4"/>
              </w:rPr>
            </w:pPr>
            <w:r>
              <w:rPr>
                <w:sz w:val="4"/>
                <w:szCs w:val="4"/>
              </w:rPr>
            </w:r>
          </w:p>
        </w:tc>
        <w:tc>
          <w:tcPr>
            <w:tcW w:w="3996" w:type="dxa"/>
            <w:gridSpan w:val="2"/>
            <w:tcBorders/>
            <w:vAlign w:val="center"/>
          </w:tcPr>
          <w:p>
            <w:pPr>
              <w:pStyle w:val="TableContents"/>
              <w:bidi w:val="0"/>
              <w:spacing w:before="0" w:after="283"/>
              <w:jc w:val="left"/>
              <w:rPr>
                <w:sz w:val="4"/>
                <w:szCs w:val="4"/>
              </w:rPr>
            </w:pPr>
            <w:r>
              <w:rPr>
                <w:sz w:val="4"/>
                <w:szCs w:val="4"/>
              </w:rPr>
            </w:r>
          </w:p>
        </w:tc>
        <w:tc>
          <w:tcPr>
            <w:tcW w:w="2032" w:type="dxa"/>
            <w:gridSpan w:val="2"/>
            <w:tcBorders/>
            <w:vAlign w:val="center"/>
          </w:tcPr>
          <w:p>
            <w:pPr>
              <w:pStyle w:val="TableContents"/>
              <w:bidi w:val="0"/>
              <w:spacing w:before="0" w:after="283"/>
              <w:jc w:val="left"/>
              <w:rPr>
                <w:sz w:val="4"/>
                <w:szCs w:val="4"/>
              </w:rPr>
            </w:pPr>
            <w:r>
              <w:rPr>
                <w:sz w:val="4"/>
                <w:szCs w:val="4"/>
              </w:rPr>
            </w:r>
          </w:p>
        </w:tc>
      </w:tr>
      <w:tr>
        <w:trPr/>
        <w:tc>
          <w:tcPr>
            <w:tcW w:w="417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Donald Tang</w:t>
            </w:r>
          </w:p>
        </w:tc>
        <w:tc>
          <w:tcPr>
            <w:tcW w:w="120" w:type="dxa"/>
            <w:tcBorders/>
            <w:vAlign w:val="bottom"/>
          </w:tcPr>
          <w:p>
            <w:pPr>
              <w:pStyle w:val="TableContents"/>
              <w:bidi w:val="0"/>
              <w:spacing w:before="0" w:after="283"/>
              <w:jc w:val="left"/>
              <w:rPr/>
            </w:pPr>
            <w:r>
              <w:rPr/>
              <w:t>  </w:t>
            </w:r>
          </w:p>
        </w:tc>
        <w:tc>
          <w:tcPr>
            <w:tcW w:w="3876" w:type="dxa"/>
            <w:tcBorders/>
          </w:tcPr>
          <w:p>
            <w:pPr>
              <w:pStyle w:val="TableContents"/>
              <w:bidi w:val="0"/>
              <w:spacing w:before="0" w:after="283"/>
              <w:jc w:val="center"/>
              <w:rPr/>
            </w:pPr>
            <w:r>
              <w:rPr/>
              <w:t>Director</w:t>
            </w:r>
          </w:p>
        </w:tc>
        <w:tc>
          <w:tcPr>
            <w:tcW w:w="188" w:type="dxa"/>
            <w:tcBorders/>
            <w:vAlign w:val="bottom"/>
          </w:tcPr>
          <w:p>
            <w:pPr>
              <w:pStyle w:val="TableContents"/>
              <w:bidi w:val="0"/>
              <w:spacing w:before="0" w:after="283"/>
              <w:jc w:val="left"/>
              <w:rPr/>
            </w:pPr>
            <w:r>
              <w:rPr/>
              <w:t> </w:t>
            </w:r>
          </w:p>
        </w:tc>
        <w:tc>
          <w:tcPr>
            <w:tcW w:w="1844" w:type="dxa"/>
            <w:tcBorders/>
          </w:tcPr>
          <w:p>
            <w:pPr>
              <w:pStyle w:val="TableContents"/>
              <w:bidi w:val="0"/>
              <w:spacing w:before="0" w:after="283"/>
              <w:jc w:val="center"/>
              <w:rPr/>
            </w:pPr>
            <w:r>
              <w:rPr/>
              <w:t>July 16, 2026</w:t>
            </w:r>
          </w:p>
        </w:tc>
      </w:tr>
    </w:tbl>
    <w:p>
      <w:pPr>
        <w:pStyle w:val="TextBody"/>
        <w:bidi w:val="0"/>
        <w:spacing w:before="240" w:after="0"/>
        <w:jc w:val="left"/>
        <w:rPr>
          <w:rFonts w:ascii="Times New Roman" w:hAnsi="Times New Roman"/>
          <w:sz w:val="20"/>
        </w:rPr>
      </w:pPr>
      <w:r>
        <w:rPr>
          <w:rFonts w:ascii="Times New Roman" w:hAnsi="Times New Roman"/>
          <w:sz w:val="20"/>
        </w:rPr>
        <w:t>*: By:</w:t>
      </w:r>
      <w:r>
        <w:rPr>
          <w:rFonts w:ascii="Times New Roman" w:hAnsi="Times New Roman"/>
          <w:sz w:val="20"/>
          <w:u w:val="single"/>
        </w:rPr>
        <w:t xml:space="preserve"> /s/ Timothy Lu, M.D., Ph.D.      </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Timothy Lu, M.D., Ph.D. </w:t>
      </w:r>
    </w:p>
    <w:p>
      <w:pPr>
        <w:pStyle w:val="TextBody"/>
        <w:bidi w:val="0"/>
        <w:spacing w:before="0" w:after="0"/>
        <w:jc w:val="left"/>
        <w:rPr>
          <w:rFonts w:ascii="Times New Roman" w:hAnsi="Times New Roman"/>
          <w:sz w:val="20"/>
        </w:rPr>
      </w:pPr>
      <w:r>
        <w:rPr>
          <w:rFonts w:ascii="Times New Roman" w:hAnsi="Times New Roman"/>
          <w:sz w:val="20"/>
        </w:rPr>
        <w:t xml:space="preserve">Attorney-in-Fact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II-10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854270/000162828026021580/snti-20251231.htm" TargetMode="External"/><Relationship Id="rId4" Type="http://schemas.openxmlformats.org/officeDocument/2006/relationships/hyperlink" Target="http://www.sec.gov/Archives/edgar/data/../../../ix?doc=/Archives/edgar/data/0001854270/000162828026028429/snti-20251231.htm" TargetMode="External"/><Relationship Id="rId5" Type="http://schemas.openxmlformats.org/officeDocument/2006/relationships/hyperlink" Target="http://www.sec.gov/Archives/edgar/data/../../../ix?doc=/Archives/edgar/data/0001854270/000162828026035126/snti-20260331.htm" TargetMode="External"/><Relationship Id="rId6" Type="http://schemas.openxmlformats.org/officeDocument/2006/relationships/hyperlink" Target="http://www.sec.gov/Archives/edgar/data/../../../ix?doc=/Archives/edgar/data/0001854270/000162828026019789/snti-20260317.htm" TargetMode="External"/><Relationship Id="rId7" Type="http://schemas.openxmlformats.org/officeDocument/2006/relationships/hyperlink" Target="http://www.sec.gov/Archives/edgar/data/../../../ix?doc=/Archives/edgar/data/0001854270/000162828026022824/snti-20260401.htm" TargetMode="External"/><Relationship Id="rId8" Type="http://schemas.openxmlformats.org/officeDocument/2006/relationships/hyperlink" Target="http://www.sec.gov/Archives/edgar/data/../../../ix?doc=/Archives/edgar/data/0001854270/000119312526177157/d279931d8k12b.htm" TargetMode="External"/><Relationship Id="rId9" Type="http://schemas.openxmlformats.org/officeDocument/2006/relationships/hyperlink" Target="http://www.sec.gov/Archives/edgar/data/../../../ix?doc=/Archives/edgar/data/0001854270/000162828026029320/snti-20260427.htm" TargetMode="External"/><Relationship Id="rId10" Type="http://schemas.openxmlformats.org/officeDocument/2006/relationships/hyperlink" Target="http://www.sec.gov/Archives/edgar/data/../../../ix?doc=/Archives/edgar/data/1854270/000162828026034834/snti-20260514.htm" TargetMode="External"/><Relationship Id="rId11" Type="http://schemas.openxmlformats.org/officeDocument/2006/relationships/hyperlink" Target="http://www.sec.gov/Archives/edgar/data/../../../ix?doc=/Archives/edgar/data/0001854270/000162828026038058/snti-20260520.htm" TargetMode="External"/><Relationship Id="rId12" Type="http://schemas.openxmlformats.org/officeDocument/2006/relationships/hyperlink" Target="http://www.sec.gov/Archives/edgar/data/../../../ix?doc=/Archives/edgar/data/1854270/000162828026048248/snti-20260714.htm" TargetMode="External"/><Relationship Id="rId13" Type="http://schemas.openxmlformats.org/officeDocument/2006/relationships/hyperlink" Target="http://www.sec.gov/Archives/edgar/data/../../../ix?doc=/Archives/edgar/data/0001854270/000119312526177157/d279931d8k12b.htm" TargetMode="External"/><Relationship Id="rId14" Type="http://schemas.openxmlformats.org/officeDocument/2006/relationships/image" Target="media/image1.jpeg"/><Relationship Id="rId15" Type="http://schemas.openxmlformats.org/officeDocument/2006/relationships/hyperlink" Target="http://www.sec.gov/Archives/edgar/data/1854270/000119312522158089/d282881dex21.htm" TargetMode="External"/><Relationship Id="rId16" Type="http://schemas.openxmlformats.org/officeDocument/2006/relationships/hyperlink" Target="http://www.sec.gov/Archives/edgar/data/0001854270/000119312526177157/d279931dex21.htm" TargetMode="External"/><Relationship Id="rId17" Type="http://schemas.openxmlformats.org/officeDocument/2006/relationships/hyperlink" Target="http://www.sec.gov/Archives/edgar/data/0001854270/000119312526177157/d279931dex31.htm" TargetMode="External"/><Relationship Id="rId18" Type="http://schemas.openxmlformats.org/officeDocument/2006/relationships/hyperlink" Target="http://www.sec.gov/Archives/edgar/data/0001854270/000119312526177157/d279931dex32.htm" TargetMode="External"/><Relationship Id="rId19" Type="http://schemas.openxmlformats.org/officeDocument/2006/relationships/hyperlink" Target="http://www.sec.gov/Archives/edgar/data/0001854270/000119312526177157/d279931dex33.htm" TargetMode="External"/><Relationship Id="rId20" Type="http://schemas.openxmlformats.org/officeDocument/2006/relationships/hyperlink" Target="http://www.sec.gov/Archives/edgar/data/0001854270/000119312522174498/d360749dex32.htm" TargetMode="External"/><Relationship Id="rId21" Type="http://schemas.openxmlformats.org/officeDocument/2006/relationships/hyperlink" Target="http://www.sec.gov/Archives/edgar/data/0001854270/000119312526177157/d279931dex41.htm" TargetMode="External"/><Relationship Id="rId22" Type="http://schemas.openxmlformats.org/officeDocument/2006/relationships/hyperlink" Target="http://www.sec.gov/Archives/edgar/data/0001854270/000162828026029320/exhibit102-formofnote.htm" TargetMode="External"/><Relationship Id="rId23" Type="http://schemas.openxmlformats.org/officeDocument/2006/relationships/hyperlink" Target="http://www.sec.gov/Archives/edgar/data/1854270/000119312526276079/d87527dex51.htm" TargetMode="External"/><Relationship Id="rId24" Type="http://schemas.openxmlformats.org/officeDocument/2006/relationships/hyperlink" Target="http://www.sec.gov/Archives/edgar/data/0001854270/000162828026029320/exhibit101-securitiespurch.htm" TargetMode="External"/><Relationship Id="rId25" Type="http://schemas.openxmlformats.org/officeDocument/2006/relationships/hyperlink" Target="http://www.sec.gov/Archives/edgar/data/0001854270/000162828026029320/exhibit103-formofguarantee.htm" TargetMode="External"/><Relationship Id="rId26" Type="http://schemas.openxmlformats.org/officeDocument/2006/relationships/hyperlink" Target="http://www.sec.gov/Archives/edgar/data/0001854270/000162828026029320/exhibit104-formofregistrat.htm" TargetMode="External"/><Relationship Id="rId27" Type="http://schemas.openxmlformats.org/officeDocument/2006/relationships/hyperlink" Target="http://www.sec.gov/Archives/edgar/data/0001854270/000162828026029320/exhibit105-formofvotingagr.htm" TargetMode="External"/><Relationship Id="rId28" Type="http://schemas.openxmlformats.org/officeDocument/2006/relationships/hyperlink" Target="http://www.sec.gov/Archives/edgar/data/0001854270/000119312526177157/d279931dex101.htm" TargetMode="External"/><Relationship Id="rId29" Type="http://schemas.openxmlformats.org/officeDocument/2006/relationships/hyperlink" Target="http://www.sec.gov/Archives/edgar/data/1854270/000162828026048248/exhibit21-agreementandplan.htm" TargetMode="External"/><Relationship Id="rId30" Type="http://schemas.openxmlformats.org/officeDocument/2006/relationships/hyperlink" Target="http://www.sec.gov/Archives/edgar/data/1854270/000162828026048248/exhibit101-contingentvalue.htm" TargetMode="External"/><Relationship Id="rId31" Type="http://schemas.openxmlformats.org/officeDocument/2006/relationships/hyperlink" Target="http://www.sec.gov/Archives/edgar/data/1854270/000119312526276079/d87527dex231.htm" TargetMode="External"/><Relationship Id="rId32" Type="http://schemas.openxmlformats.org/officeDocument/2006/relationships/hyperlink" Target="http://www.sec.gov/Archives/edgar/data/1854270/000119312526276079/d87527dex51.htm" TargetMode="External"/><Relationship Id="rId33" Type="http://schemas.openxmlformats.org/officeDocument/2006/relationships/hyperlink" Target="http://www.sec.gov/Archives/edgar/data/../../../ix?doc=/Archives/edgar/data/1854270/000119312526276079/d87527dexfilingfees.htm"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44</Pages>
  <Words>22531</Words>
  <Characters>119785</Characters>
  <CharactersWithSpaces>142852</CharactersWithSpaces>
  <Paragraphs>1653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S-3/A</dc:title>
</cp:coreProperties>
</file>