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3,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20" w:type="dxa"/>
        <w:jc w:val="center"/>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733"/>
        <w:gridCol w:w="733"/>
        <w:gridCol w:w="1039"/>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Additional Notes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 2026, Senti Holdings, Inc. (“Senti Holdings”), a wholly owned subsidiary of Senti Biosciences Holdings, Inc. (the “Company”), completed the previously announce issuance and sale to NSG BioInnovation Fund, L.P. (“NSG”) of $2.0 million in aggregate principal amount of its Senior Secured Convertible Notes (the “Notes”) pursuant to that certain Securities Purchase Agreement, dated April 27, 2026, by and among the Company, Senti Holdings, Senti Biosciences, Inc. (“Opco”) and the purchasers named therein, as amended pursuant to that certain Amendment No. 1, dated September 1, 2026 (the “Purchase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Notes have the terms described under “Item 1.01 Entry into a Material Definitive Agreement—The Notes” in the Company’s Current Report on Form 8-K filed by the Company on May 1, 2026, as supplemented by the Company’s Current Reports on Form 8-K filed by the Company on May 26, 2026, August 20, 2026 and September 2, 2026, each of which is incorporated herein by reference. In connection with the issuance and sale of Notes to NSG described herein, the Form of Senior Secured Convertible Note of Senti Holdings, Inc. was amended to account for the addition of NSG as a party to the Purchase Agreement, and such form is re-filed herewith to reflect those changes.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Equity Commitment Letter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 2026, the Company entered into an equity commitment letter (the “Equity Commitment Letter”) with an affiliate of Celadon Partners, LLC (“Celadon”), pursuant to which, subject to the terms and conditions therein, such affiliate of Celadon agreed to purchase $2.5 million of shares of the Company’s common stock at a price per share equal to the “Minimum Price” as defined in Nasdaq Listing Rule 5635(d). Under the Equity Commitment Letter, the shares will be purchased from the Company at or around the time of the closing of the Merger. Under the Equity Commitment Letter, the Company and such affiliate of Celadon (or its applicable affiliate) agreed to enter into a registration rights agreement at or prior to the closing of the Merger in form and substance reasonably acceptable to the Company and such affiliate of Celadon (or its applicable affiliate) that would provide such affiliate of Celadon (or its applicable affiliate) with customary demand and piggyback registration rights with respect to the shares of Company common stock purchased under the Equity Commitment Letter. The Equity Commitment Letter also includes customary indemnification obligations of the Company.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Equity Commitment Letter does not purport to be complete and is qualified in its entirety by reference to the Equity Commitment Letter, a copy of which is filed as Exhibit 10.2 to this Current Report on Form 8-K and is incorporated by reference into this Item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above in Item 1.01 of this Current Report on Form 8-K under the caption “Additional Notes” is hereby incorporated by reference into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any Notes beyond the Exchange Cap (as defined in the Notes) and the potential transaction pursuant to which, if consummated, an entity affiliated with Celadon would merge with and into Senti Holdings and Senti Holdings would issue a contingent value right to the Company’s stockholders, which may pay out up to an aggregate of $60.0 million in cash subject to the achievement of certain regulatory and sales milestones with respect to the Company’s product candidate, SENTI-202 (the “Subject Transactions”), the Company has filed a preliminary proxy statement on Schedule 14A with the Securities and Exchange Commission (the “SEC”) on July 21, 2026. Promptly after filing its definitive proxy statement with the SEC, the Company will mail the proxy materials to each stockholder entitled to vote at the annual or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statement and other relevant materials in connection with the Subject Transactions (as and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amendment to the Company’s Annual Report on Form 10-K for the year ended December 31, 2025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1"/>
        <w:gridCol w:w="326"/>
        <w:gridCol w:w="327"/>
        <w:gridCol w:w="109"/>
        <w:gridCol w:w="109"/>
        <w:gridCol w:w="109"/>
        <w:gridCol w:w="2596"/>
        <w:gridCol w:w="2581"/>
        <w:gridCol w:w="3677"/>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101_senti-amendedformofs.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Senior Secured Convertible Note of Senti Holdings, Inc.</w:t>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_equitycommitmentlett.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Commitment Letter, dated September 3, 2026, by and between Senti Biosciences Holdings, Inc. and CPIF II-9 Limited.</w:t>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974"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09"/>
        <w:gridCol w:w="109"/>
        <w:gridCol w:w="109"/>
        <w:gridCol w:w="388"/>
        <w:gridCol w:w="388"/>
        <w:gridCol w:w="388"/>
        <w:gridCol w:w="388"/>
        <w:gridCol w:w="388"/>
        <w:gridCol w:w="388"/>
        <w:gridCol w:w="626"/>
        <w:gridCol w:w="626"/>
        <w:gridCol w:w="8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SENIOR SECURED CONVERTIBLE NOTE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NEITHER THE ISSUANCE AND SALE OF THE SECURITIES REPRESENTED BY THIS CERTIFICATE NOR THE SECURITIES INTO WHICH THESE SECURITIES ARE EXCHANGEABLE OR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FORM REASONABLY ACCEPTABLE TO THE COMPANY (IF REQUESTED BY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19(a) AND 19(e) HEREOF. THE PRINCIPAL AMOUNT REPRESENTED BY THIS NOTE AND, ACCORDINGLY, THE SECURITIES ISSUABLE UPON EXCHANGE OR CONVERSION HEREOF MAY BE LESS THAN THE AMOUNT SET FORTH ON THE FACE HEREOF PURSUANT TO SECTION 19(e) OF THIS NOTE.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SENIOR SECURED CONVERTIBLE NOTE</w:t>
      </w:r>
    </w:p>
    <w:tbl>
      <w:tblPr>
        <w:tblW w:w="5444" w:type="dxa"/>
        <w:jc w:val="left"/>
        <w:tblInd w:w="0" w:type="dxa"/>
        <w:tblLayout w:type="fixed"/>
        <w:tblCellMar>
          <w:top w:w="28" w:type="dxa"/>
          <w:left w:w="28" w:type="dxa"/>
          <w:bottom w:w="28" w:type="dxa"/>
          <w:right w:w="28" w:type="dxa"/>
        </w:tblCellMar>
      </w:tblPr>
      <w:tblGrid>
        <w:gridCol w:w="641"/>
        <w:gridCol w:w="563"/>
        <w:gridCol w:w="566"/>
        <w:gridCol w:w="1075"/>
        <w:gridCol w:w="1075"/>
        <w:gridCol w:w="152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tLeast" w:line="246" w:before="0" w:after="0"/>
              <w:jc w:val="both"/>
              <w:rPr>
                <w:rFonts w:ascii="Times New Roman;serif" w:hAnsi="Times New Roman;serif"/>
                <w:b w:val="false"/>
                <w:color w:val="000000"/>
                <w:sz w:val="24"/>
              </w:rPr>
            </w:pPr>
            <w:r>
              <w:rPr>
                <w:rFonts w:ascii="Times New Roman;serif" w:hAnsi="Times New Roman;serif"/>
                <w:b w:val="false"/>
                <w:color w:val="000000"/>
                <w:sz w:val="24"/>
              </w:rPr>
              <w:t>Issuance Date: [ ]</w:t>
            </w:r>
          </w:p>
        </w:tc>
        <w:tc>
          <w:tcPr>
            <w:tcW w:w="3674" w:type="dxa"/>
            <w:gridSpan w:val="3"/>
            <w:tcBorders/>
            <w:tcMar>
              <w:top w:w="0" w:type="dxa"/>
              <w:left w:w="0" w:type="dxa"/>
              <w:bottom w:w="0" w:type="dxa"/>
              <w:right w:w="0" w:type="dxa"/>
            </w:tcMar>
            <w:vAlign w:val="center"/>
          </w:tcPr>
          <w:p>
            <w:pPr>
              <w:pStyle w:val="TableContents"/>
              <w:bidi w:val="0"/>
              <w:spacing w:lineRule="atLeast" w:line="246" w:before="0" w:after="0"/>
              <w:jc w:val="left"/>
              <w:rPr>
                <w:rFonts w:ascii="Times New Roman;serif" w:hAnsi="Times New Roman;serif"/>
                <w:b w:val="false"/>
                <w:color w:val="000000"/>
                <w:sz w:val="24"/>
              </w:rPr>
            </w:pPr>
            <w:r>
              <w:rPr>
                <w:rFonts w:ascii="Times New Roman;serif" w:hAnsi="Times New Roman;serif"/>
                <w:b w:val="false"/>
                <w:color w:val="000000"/>
                <w:sz w:val="24"/>
              </w:rPr>
              <w:t>Original Principal Amount: U.S. $ [ ]</w:t>
            </w:r>
          </w:p>
        </w:tc>
      </w:tr>
    </w:tbl>
    <w:p>
      <w:pPr>
        <w:pStyle w:val="TextBody"/>
        <w:bidi w:val="0"/>
        <w:spacing w:lineRule="auto" w:line="288" w:before="240" w:after="240"/>
        <w:ind w:left="0" w:right="0" w:firstLine="720"/>
        <w:jc w:val="both"/>
        <w:rPr/>
      </w:pPr>
      <w:r>
        <w:rPr>
          <w:rFonts w:ascii="Times New Roman;serif" w:hAnsi="Times New Roman;serif"/>
          <w:b/>
          <w:color w:val="000000"/>
          <w:sz w:val="24"/>
        </w:rPr>
        <w:t>FOR VALUE RECEIVED</w:t>
      </w:r>
      <w:r>
        <w:rPr>
          <w:rFonts w:ascii="Times New Roman;serif" w:hAnsi="Times New Roman;serif"/>
          <w:b w:val="false"/>
          <w:color w:val="000000"/>
          <w:sz w:val="24"/>
        </w:rPr>
        <w:t>, Senti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hereby promises to pay to [ ] or its registered assigns (the “</w:t>
      </w:r>
      <w:r>
        <w:rPr>
          <w:rFonts w:ascii="Times New Roman;serif" w:hAnsi="Times New Roman;serif"/>
          <w:b/>
          <w:color w:val="000000"/>
          <w:sz w:val="24"/>
        </w:rPr>
        <w:t>Holder</w:t>
      </w:r>
      <w:r>
        <w:rPr>
          <w:color w:val="000000"/>
        </w:rPr>
        <w:t>”</w:t>
      </w:r>
      <w:r>
        <w:rPr>
          <w:rFonts w:ascii="Times New Roman;serif" w:hAnsi="Times New Roman;serif"/>
          <w:b w:val="false"/>
          <w:color w:val="000000"/>
          <w:sz w:val="24"/>
        </w:rPr>
        <w:t>) in cash and/or in shares of Issuer Common Stock and/or in Company Common Stock the amount set forth above as the Original Principal Amount (as reduced pursuant to the terms hereof pursuant to redemption, exchange, conversion or otherwise, the “</w:t>
      </w:r>
      <w:r>
        <w:rPr>
          <w:rFonts w:ascii="Times New Roman;serif" w:hAnsi="Times New Roman;serif"/>
          <w:b/>
          <w:color w:val="000000"/>
          <w:sz w:val="24"/>
        </w:rPr>
        <w:t>Principal</w:t>
      </w:r>
      <w:r>
        <w:rPr>
          <w:color w:val="000000"/>
        </w:rPr>
        <w:t>”</w:t>
      </w:r>
      <w:r>
        <w:rPr>
          <w:rFonts w:ascii="Times New Roman;serif" w:hAnsi="Times New Roman;serif"/>
          <w:b w:val="false"/>
          <w:color w:val="000000"/>
          <w:sz w:val="24"/>
        </w:rPr>
        <w:t>) when due, whether upon the Maturity Date (as defined below), acceleration, redemption or otherwise (in each case in accordance with the terms hereof) and to pay default interest (“</w:t>
      </w:r>
      <w:r>
        <w:rPr>
          <w:rFonts w:ascii="Times New Roman;serif" w:hAnsi="Times New Roman;serif"/>
          <w:b/>
          <w:color w:val="000000"/>
          <w:sz w:val="24"/>
        </w:rPr>
        <w:t>Interest</w:t>
      </w:r>
      <w:r>
        <w:rPr>
          <w:color w:val="000000"/>
        </w:rPr>
        <w:t>”</w:t>
      </w:r>
      <w:r>
        <w:rPr>
          <w:rFonts w:ascii="Times New Roman;serif" w:hAnsi="Times New Roman;serif"/>
          <w:b w:val="false"/>
          <w:color w:val="000000"/>
          <w:sz w:val="24"/>
        </w:rPr>
        <w:t>) on any outstanding Principal at the applicable Default Rate at any time from the date set out above as the Issuance Date (the “</w:t>
      </w:r>
      <w:r>
        <w:rPr>
          <w:rFonts w:ascii="Times New Roman;serif" w:hAnsi="Times New Roman;serif"/>
          <w:b/>
          <w:color w:val="000000"/>
          <w:sz w:val="24"/>
        </w:rPr>
        <w:t>Issuance Date</w:t>
      </w:r>
      <w:r>
        <w:rPr>
          <w:color w:val="000000"/>
        </w:rPr>
        <w:t>”</w:t>
      </w:r>
      <w:r>
        <w:rPr>
          <w:rFonts w:ascii="Times New Roman;serif" w:hAnsi="Times New Roman;serif"/>
          <w:b w:val="false"/>
          <w:color w:val="000000"/>
          <w:sz w:val="24"/>
        </w:rPr>
        <w:t>) until the same becomes due and payable, whether upon a Default Interest Date (as defined below), the Maturity Date (as defined below), acceleration, exchange, conversion, redemption or otherwise (in each case in accordance with the terms hereof). This Senior Secured Convertible Note (including all Senior Secured Convertible Notes issued in exchange, transfer or replacement hereof, this “</w:t>
      </w:r>
      <w:r>
        <w:rPr>
          <w:rFonts w:ascii="Times New Roman;serif" w:hAnsi="Times New Roman;serif"/>
          <w:b/>
          <w:color w:val="000000"/>
          <w:sz w:val="24"/>
        </w:rPr>
        <w:t>Note</w:t>
      </w:r>
      <w:r>
        <w:rPr>
          <w:color w:val="000000"/>
        </w:rPr>
        <w:t>”</w:t>
      </w:r>
      <w:r>
        <w:rPr>
          <w:rFonts w:ascii="Times New Roman;serif" w:hAnsi="Times New Roman;serif"/>
          <w:b w:val="false"/>
          <w:color w:val="000000"/>
          <w:sz w:val="24"/>
        </w:rPr>
        <w:t>) is one of an issue of Senior Secured Convertible Notes issued pursuant to the Securities Purchase Agreement on one or more Closing Date(s) (collectively, the “</w:t>
      </w:r>
      <w:r>
        <w:rPr>
          <w:rFonts w:ascii="Times New Roman;serif" w:hAnsi="Times New Roman;serif"/>
          <w:b/>
          <w:color w:val="000000"/>
          <w:sz w:val="24"/>
        </w:rPr>
        <w:t>Notes</w:t>
      </w:r>
      <w:r>
        <w:rPr>
          <w:color w:val="000000"/>
        </w:rPr>
        <w:t xml:space="preserve">” </w:t>
      </w:r>
      <w:r>
        <w:rPr>
          <w:rFonts w:ascii="Times New Roman;serif" w:hAnsi="Times New Roman;serif"/>
          <w:b w:val="false"/>
          <w:color w:val="000000"/>
          <w:sz w:val="24"/>
        </w:rPr>
        <w:t xml:space="preserve">and such other Senior Secured Convertible Notes issued on a Closing Date (which, for the avoidance of doubt, may be a different Closing Date than the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Closing Date that occurred on the Issuance Date), the “</w:t>
      </w:r>
      <w:r>
        <w:rPr>
          <w:rFonts w:ascii="Times New Roman;serif" w:hAnsi="Times New Roman;serif"/>
          <w:b/>
          <w:color w:val="000000"/>
          <w:sz w:val="24"/>
        </w:rPr>
        <w:t>Other Notes</w:t>
      </w:r>
      <w:r>
        <w:rPr>
          <w:color w:val="000000"/>
        </w:rPr>
        <w:t>”</w:t>
      </w:r>
      <w:r>
        <w:rPr>
          <w:rFonts w:ascii="Times New Roman;serif" w:hAnsi="Times New Roman;serif"/>
          <w:b w:val="false"/>
          <w:color w:val="000000"/>
          <w:sz w:val="24"/>
        </w:rPr>
        <w:t>). Certain capitalized terms used herein are defined in Section 34.</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PAYMENTS OF PRINCIPAL; PREPAYMENT</w:t>
      </w:r>
      <w:r>
        <w:rPr>
          <w:rFonts w:ascii="Times New Roman;serif" w:hAnsi="Times New Roman;serif"/>
          <w:b w:val="false"/>
          <w:color w:val="000000"/>
          <w:sz w:val="24"/>
        </w:rPr>
        <w:t>. On the Maturity Date, the Company shall pay to the Holder an amount in cash representing 200% of all outstanding Principal, and accrued and unpaid Interest, if any. The “</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shall be November 23, 2026, as may be extended at the option of the Holder (i) in the event that, and for so long as, an Event of Default (as defined in Section 5(a))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6(c)) is delivered prior to the Maturity Date. Other than as specifically permitted by this Note, the Company may not prepay any portion of the outstanding Principal, accrued and unpaid Interest.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INTEREST</w:t>
      </w:r>
      <w:r>
        <w:rPr>
          <w:rFonts w:ascii="Times New Roman;serif" w:hAnsi="Times New Roman;serif"/>
          <w:b w:val="false"/>
          <w:color w:val="000000"/>
          <w:sz w:val="24"/>
        </w:rPr>
        <w:t>. No Interest shall accrue hereunder unless and until an Event of Default has occurred. From and after the occurrence and during the continuance of any Event of Default, Interest shall accrue hereunder at a rate of twelve percent (12.0%) per annum (the “</w:t>
      </w:r>
      <w:r>
        <w:rPr>
          <w:rFonts w:ascii="Times New Roman;serif" w:hAnsi="Times New Roman;serif"/>
          <w:b/>
          <w:color w:val="000000"/>
          <w:sz w:val="24"/>
        </w:rPr>
        <w:t>Default Rate</w:t>
      </w:r>
      <w:r>
        <w:rPr>
          <w:color w:val="000000"/>
        </w:rPr>
        <w:t>”</w:t>
      </w:r>
      <w:r>
        <w:rPr>
          <w:rFonts w:ascii="Times New Roman;serif" w:hAnsi="Times New Roman;serif"/>
          <w:b w:val="false"/>
          <w:color w:val="000000"/>
          <w:sz w:val="24"/>
        </w:rPr>
        <w:t>) and shall be computed on the basis of a 360-day year and twelve 30-day months and shall be payable in arrears on the first Business Day of the calendar month immediately succeeding the month during which an Event of Default has occurred or is continuing, as applicable (a “</w:t>
      </w:r>
      <w:r>
        <w:rPr>
          <w:rFonts w:ascii="Times New Roman;serif" w:hAnsi="Times New Roman;serif"/>
          <w:b/>
          <w:color w:val="000000"/>
          <w:sz w:val="24"/>
        </w:rPr>
        <w:t>Default Interest Date</w:t>
      </w:r>
      <w:r>
        <w:rPr>
          <w:color w:val="000000"/>
        </w:rPr>
        <w:t>”</w:t>
      </w:r>
      <w:r>
        <w:rPr>
          <w:rFonts w:ascii="Times New Roman;serif" w:hAnsi="Times New Roman;serif"/>
          <w:b w:val="false"/>
          <w:color w:val="000000"/>
          <w:sz w:val="24"/>
        </w:rPr>
        <w:t>). Accrued and unpaid Interest, if any, shall also be payable as part of the Conversion Amount upon any redemption or conversion hereunder occurring prior to a Default Interest Date. In the event that such Event of Default is subsequently cured or waived in writing by the Holder (and no other Event of Default then exists, including, without limitation, for the Company’s failure to pay such Interest at the Default Rate on the applicable Default Interest Date), Interest shall cease to accrue hereunder as of the calendar day immediately following the date of such cure or waiver; provided that Interest as calculated and unpaid during the continuance of such Event of Default shall continue to apply to the extent relating to the days after the occurrence of such Event of Default through and including the date of such cure or waiver of such Event of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EXCHANGE OF NOTES</w:t>
      </w:r>
      <w:r>
        <w:rPr>
          <w:rFonts w:ascii="Times New Roman;serif" w:hAnsi="Times New Roman;serif"/>
          <w:b w:val="false"/>
          <w:color w:val="000000"/>
          <w:sz w:val="24"/>
        </w:rPr>
        <w:t>. At any time or times after the Issuance Date, this Note shall be exchangeable into validly issued, fully paid and nonassessable shares of Issuer Common Stock, on the terms and conditions set forth in this Section 3.</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Exchange Right</w:t>
      </w:r>
      <w:r>
        <w:rPr>
          <w:rFonts w:ascii="Times New Roman;serif" w:hAnsi="Times New Roman;serif"/>
          <w:b w:val="false"/>
          <w:color w:val="000000"/>
          <w:sz w:val="24"/>
        </w:rPr>
        <w:t>. Subject to the provisions of Section 3(e), at any time or times on or after the Issuance Date and ending on the date immediately preceding the Maturity Date, the Holder shall be entitled to exchange all or any portion of the outstanding and unpaid Outstanding Amount, as selected by the Holder, into validly issued, fully paid and nonassessable shares of Issuer Common Stock in accordance with Section 3(c), at the Exchange / Conversion Price. The Issuer shall not issue any fraction of a share of Issuer Common Stock upon any exchange. If the issuance would result in the issuance of a fraction of a share of Issuer Common Stock, the Issuer shall round such fraction of a share of Issuer Common Stock up to the nearest whole share. The Issuer shall pay any and all transfer, stamp, issuance and similar taxes, costs and expenses (including, without limitation, fees and expenses of the Issuer’s transfer agent (the “</w:t>
      </w:r>
      <w:r>
        <w:rPr>
          <w:rFonts w:ascii="Times New Roman;serif" w:hAnsi="Times New Roman;serif"/>
          <w:b/>
          <w:color w:val="000000"/>
          <w:sz w:val="24"/>
        </w:rPr>
        <w:t>Transfer Agent</w:t>
      </w:r>
      <w:r>
        <w:rPr>
          <w:color w:val="000000"/>
        </w:rPr>
        <w:t>”</w:t>
      </w:r>
      <w:r>
        <w:rPr>
          <w:rFonts w:ascii="Times New Roman;serif" w:hAnsi="Times New Roman;serif"/>
          <w:b w:val="false"/>
          <w:color w:val="000000"/>
          <w:sz w:val="24"/>
        </w:rPr>
        <w:t>)) that may be payable with respect to the issuance and delivery of Issuer Common Stock upon exchange of any Outstanding Amount.</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Exchange Rate</w:t>
      </w:r>
      <w:r>
        <w:rPr>
          <w:rFonts w:ascii="Times New Roman;serif" w:hAnsi="Times New Roman;serif"/>
          <w:b w:val="false"/>
          <w:color w:val="000000"/>
          <w:sz w:val="24"/>
        </w:rPr>
        <w:t>. The number of shares of Issuer Common Stock issuable upon exchange of any Outstanding Amount pursuant to Section 3(a) shall be determined by dividing (x) such Outstanding Amount by (y) the Exchange / Conversion Price.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Mechanics of Exchange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Optional Exchange</w:t>
      </w:r>
      <w:r>
        <w:rPr>
          <w:rFonts w:ascii="Times New Roman;serif" w:hAnsi="Times New Roman;serif"/>
          <w:b w:val="false"/>
          <w:color w:val="000000"/>
          <w:sz w:val="24"/>
        </w:rPr>
        <w:t>. To exchange any Outstanding Amount into shares of Issuer Common Stock on any date (an “</w:t>
      </w:r>
      <w:r>
        <w:rPr>
          <w:rFonts w:ascii="Times New Roman;serif" w:hAnsi="Times New Roman;serif"/>
          <w:b/>
          <w:color w:val="000000"/>
          <w:sz w:val="24"/>
        </w:rPr>
        <w:t>Exchange Date</w:t>
      </w:r>
      <w:r>
        <w:rPr>
          <w:color w:val="000000"/>
        </w:rPr>
        <w:t>”</w:t>
      </w:r>
      <w:r>
        <w:rPr>
          <w:rFonts w:ascii="Times New Roman;serif" w:hAnsi="Times New Roman;serif"/>
          <w:b w:val="false"/>
          <w:color w:val="000000"/>
          <w:sz w:val="24"/>
        </w:rPr>
        <w:t xml:space="preserve">), the Holder shall (A) transmit by electronic mail (or otherwise deliver), for delivery on or prior to 11:59 p.m., New York time, on such date, a copy of an executed notice of exchange in the form attached hereto as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(an “</w:t>
      </w:r>
      <w:r>
        <w:rPr>
          <w:rFonts w:ascii="Times New Roman;serif" w:hAnsi="Times New Roman;serif"/>
          <w:b/>
          <w:color w:val="000000"/>
          <w:sz w:val="24"/>
        </w:rPr>
        <w:t>Exchange Notice</w:t>
      </w:r>
      <w:r>
        <w:rPr>
          <w:color w:val="000000"/>
        </w:rPr>
        <w:t>”</w:t>
      </w:r>
      <w:r>
        <w:rPr>
          <w:rFonts w:ascii="Times New Roman;serif" w:hAnsi="Times New Roman;serif"/>
          <w:b w:val="false"/>
          <w:color w:val="000000"/>
          <w:sz w:val="24"/>
        </w:rPr>
        <w:t>) to the Issuer and (B) if required by Section 19(e), but without delaying the Issuer’s requirement to deliver shares of Issuer Common Stock on the applicable Issuer Share Delivery Date (as defined below), surrender this Note to a common carrier for delivery to the Issuer as soon as practicable on or following the applicable Exchange Date on which the Holder submitted an Exchange Notice to the Issuer electing to exchange the full Outstanding Amount represented by this Note (or an indemnification undertaking with respect to the Note in the case of its loss, theft, destruction or mutilation in compliance with the procedures set forth in Section 19(b)). No ink-original Exchange Notice shall be required, nor shall any medallion guarantee (or other type of guarantee or notarization) of any Exchange Notice be required. On or before the first (1st) Trading Day following the date of delivery of an Exchange Notice, the Issuer shall transmit by electronic mail a confirmation of receipt of such Exchange Notice to the Holder and Transfer Agent, which confirmation shall constitute an instruction to the Transfer Agent to process such Exchange Notice in accordance with the terms therein. On or before the earlier of (i) the first (1</w:t>
      </w:r>
      <w:r>
        <w:rPr>
          <w:rFonts w:ascii="Times New Roman;serif" w:hAnsi="Times New Roman;serif"/>
          <w:b w:val="false"/>
          <w:color w:val="000000"/>
          <w:sz w:val="16"/>
        </w:rPr>
        <w:t>st</w:t>
      </w:r>
      <w:r>
        <w:rPr>
          <w:rFonts w:ascii="Times New Roman;serif" w:hAnsi="Times New Roman;serif"/>
          <w:b w:val="false"/>
          <w:color w:val="000000"/>
          <w:sz w:val="24"/>
        </w:rPr>
        <w:t>) Trading Day and (ii) the number of Trading Days comprising the Standard Settlement Period, in each case, following the date on which the Holder has delivered an Exchange Notice to the Issuer (an “</w:t>
      </w:r>
      <w:r>
        <w:rPr>
          <w:rFonts w:ascii="Times New Roman;serif" w:hAnsi="Times New Roman;serif"/>
          <w:b/>
          <w:color w:val="000000"/>
          <w:sz w:val="24"/>
        </w:rPr>
        <w:t>Issuer Share Delivery Date</w:t>
      </w:r>
      <w:r>
        <w:rPr>
          <w:color w:val="000000"/>
        </w:rPr>
        <w:t>”</w:t>
      </w:r>
      <w:r>
        <w:rPr>
          <w:rFonts w:ascii="Times New Roman;serif" w:hAnsi="Times New Roman;serif"/>
          <w:b w:val="false"/>
          <w:color w:val="000000"/>
          <w:sz w:val="24"/>
        </w:rPr>
        <w:t>), the Issuer shall (x) provided that the Transfer Agent is participating in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xml:space="preserve">) Fast Automated Securities Transfer Program and either (A) the Exchange Shares are subject to an effective resale registration statement in favor of the Holder or (B) if exchanged at a time when Rule 144 would be available for resale of the Exchange Shares by the Holder, credit such aggregate number of Exchange Shares to which the Holder is entitled pursuant to such exchange to the Holder’s or its designee’s balance account with DTC through its Deposit / Withdrawal At Custodian system, or (y) if (A) the Transfer Agent is not participating in the DTC Fast Automated Securities Transfer Program or (B) the Exchange Shares are not subject to an effective resale registration statement in favor of the Holder and, if exchanged at a time when Rule 144 would not be available for resale of the Exchange Shares by the Holder, to issue and deliver to the address as specified in the Exchange Notice, a certificate, registered in the name of the Holder or its designee, for the number of shares of Issuer Common Stock to which the Holder shall be entitled pursuant to such exchange. If this Note is physically surrendered for exchange as required by Section 19(e) and the outstanding Principal of this Note is greater than the Principal portion of the Outstanding Amount being exchanged, then the Issuer shall as soon as practicable and in no event later than two (2) Business Days after delivery of this Note and at its own expense, issue and deliver to the Holder (or its designee) a new Note (in accordance with Section 19(d)) representing the outstanding Principal not exchanged. The Person or Persons entitled to receive the shares of Issuer Common Stock issuable upon an exchange of this Note shall be treated for all purposes as the record holder or holders of such shares of Issuer Common Stock on the applicable Exchange Date, irrespective of the date such Exchange Shares are credited to the Holder’s account with DTC or the date of delivery of the certificates evidencing such Exchange Shares, as the case may be. The Issuer’s obligations to issue and deliver shares of Issuer Common Stock in accordance with the terms and subject to the conditions hereof are absolute and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Notwithstanding anything to the contrary contained in this Note or the Registration Rights Agreement, after the effective date of the Registration Statement and prior to the Holder’s receipt of the notice of an Allowed Delay (as defined in the Registration Rights Agreement), the Issuer shall cause the Transfer Agent to deliver unlegended shares of Issuer Common Stock to the Holder (or its designee) in connection with any sale of Registrable Securities with respect to which the Holder has entered into a contract for sale, and delivered a copy of the prospectus included as part of the particular Registration Statement to the extent applicable, and for which the Holder has not yet settled. While any Notes are outstanding, the Company shall use a transfer agent that participates in the DTC Fast Automated Securities Transfer Program.</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Issuer’s Failure to Timely Exchange</w:t>
      </w:r>
      <w:r>
        <w:rPr>
          <w:rFonts w:ascii="Times New Roman;serif" w:hAnsi="Times New Roman;serif"/>
          <w:b w:val="false"/>
          <w:color w:val="000000"/>
          <w:sz w:val="24"/>
        </w:rPr>
        <w:t>. If the Issuer shall fail on or prior to the applicable Issuer Share Delivery Date either (A) to issue and deliver a certificate to the Holder, if the Transfer Agent is not participating in the DTC Fast Automated Securities Transfer Program or if exchanged at a time when the Exchange Shares are not subject to an effective resale registration statement in favor of the Holder and when Rule 144 would not be available for resale of the Exchange Shares by the Holder, or credit the Holder’s balance account with DTC, if the Transfer Agent is participating in the DTC Fast Automated Securities Transfer Program and the Exchange Shares are subject to an effective resale registration statement in favor of the Holder or are exchanged at a time when Rule 144 would be available for resale of the Exchange Shares by the Holder, for the number of shares of Issuer Common Stock to which the Holder is entitled upon the Holder’s exchange of any Outstanding Amount or (B) if the Registration Statement covering the resale of the shares of Issuer Common Stock that are the subject of the Exchange Notice (the “</w:t>
      </w:r>
      <w:r>
        <w:rPr>
          <w:rFonts w:ascii="Times New Roman;serif" w:hAnsi="Times New Roman;serif"/>
          <w:b/>
          <w:color w:val="000000"/>
          <w:sz w:val="24"/>
        </w:rPr>
        <w:t>Unavailable Exchange Shares</w:t>
      </w:r>
      <w:r>
        <w:rPr>
          <w:color w:val="000000"/>
        </w:rPr>
        <w:t>”</w:t>
      </w:r>
      <w:r>
        <w:rPr>
          <w:rFonts w:ascii="Times New Roman;serif" w:hAnsi="Times New Roman;serif"/>
          <w:b w:val="false"/>
          <w:color w:val="000000"/>
          <w:sz w:val="24"/>
        </w:rPr>
        <w:t>) is not available for the resale of such Unavailable Exchange Shares and the Company or the Issuer fails to promptly, but in no event later than as required pursuant to the Registration Rights Agreement (x) so notify the Holder and (y) deliver the shares of Issuer Common Stock electronically without any restrictive legend by crediting such aggregate number of shares of Issuer Common Stock to which the Holder is entitled pursuant to such exchange to the Holder’s or its designee’s balance account with DTC through its Deposit/Withdrawal At Custodian system (the events described in the immediately foregoing clauses (A) and (B) are hereinafter referred to as an “</w:t>
      </w:r>
      <w:r>
        <w:rPr>
          <w:rFonts w:ascii="Times New Roman;serif" w:hAnsi="Times New Roman;serif"/>
          <w:b/>
          <w:color w:val="000000"/>
          <w:sz w:val="24"/>
        </w:rPr>
        <w:t>Exchange Failure</w:t>
      </w:r>
      <w:r>
        <w:rPr>
          <w:color w:val="000000"/>
        </w:rPr>
        <w:t>”</w:t>
      </w:r>
      <w:r>
        <w:rPr>
          <w:rFonts w:ascii="Times New Roman;serif" w:hAnsi="Times New Roman;serif"/>
          <w:b w:val="false"/>
          <w:color w:val="000000"/>
          <w:sz w:val="24"/>
        </w:rPr>
        <w:t xml:space="preserve">), then, in addition to all other remedies available to the Holder or the Collateral Agent (A) an Event of Default shall have occurred under Section 5(a)(iv)(A) and (B) the Holder, upon written notice to the Issuer, may void its Exchange Notice with respect to, and retain or have returned, as the case may be, any portion of this Note that has not been exchanged pursuant to such Exchange Notice;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voiding of an Exchange Notice shall not affect the Issuer’s obligations to make any payments which have accrued prior to the date of such notice pursuant to this Section 3(c)(ii) or otherwise. In addition to the foregoing, if on or prior to the applicable Issuer Share Delivery Date either (A) the Issuer shall fail (I) to issue and deliver a certificate to the Holder, if the Transfer Agent is not participating in the DTC Fast Automated Securities Transfer Program or the Exchange Shares are not subject to an effective resale registration statement in favor of the Holder and are exchanged at a time when Rule 144 would not be available for resale of the Exchange Shares by the Holder, or (II) credit the Holder’s balance account with DTC, if the Transfer Agent is participating in the DTC Fast Automated Securities Transfer Program and either (1) the Exchange Shares are subject to an effective resale registration statement in favor of the Holder or (2) are exchanged at a time when Rule 144 would be available for resale of the Exchange Shares by the Holder, for the number of shares of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Issuer Common Stock to which the Holder is entitled upon the Holder’s exchange of any Outstanding Amount or on any date of the Issuer’s obligation to deliver shares of Issuer Common Stock as contemplated pursuant to clause (y) below, and if on or after such Issuer Share Delivery Date the Holder purchases (in an open market transaction or otherwise) shares of Issuer Common Stock corresponding to all or any portion of the number of shares of Issuer Common Stock issuable upon such exchange that the Holder is entitled to receive from the Issuer and has not received from the Issuer in connection with such Exchange Failure (a “</w:t>
      </w:r>
      <w:r>
        <w:rPr>
          <w:rFonts w:ascii="Times New Roman;serif" w:hAnsi="Times New Roman;serif"/>
          <w:b/>
          <w:color w:val="000000"/>
          <w:sz w:val="24"/>
        </w:rPr>
        <w:t>Buy-In</w:t>
      </w:r>
      <w:r>
        <w:rPr>
          <w:color w:val="000000"/>
        </w:rPr>
        <w:t>”</w:t>
      </w:r>
      <w:r>
        <w:rPr>
          <w:rFonts w:ascii="Times New Roman;serif" w:hAnsi="Times New Roman;serif"/>
          <w:b w:val="false"/>
          <w:color w:val="000000"/>
          <w:sz w:val="24"/>
        </w:rPr>
        <w:t>), then, the Issuer shall, within two (2) Trading Days after the Holder’s request and in the Holder’s discretion, either (x) pay cash to the Holder in an amount equal to the Holder’s total purchase price (including brokerage commissions and other out-of-pocket expenses, if any) for the shares of Issuer Common Stock so purchased (the “</w:t>
      </w:r>
      <w:r>
        <w:rPr>
          <w:rFonts w:ascii="Times New Roman;serif" w:hAnsi="Times New Roman;serif"/>
          <w:b/>
          <w:color w:val="000000"/>
          <w:sz w:val="24"/>
        </w:rPr>
        <w:t>Buy-In Price</w:t>
      </w:r>
      <w:r>
        <w:rPr>
          <w:color w:val="000000"/>
        </w:rPr>
        <w:t>”</w:t>
      </w:r>
      <w:r>
        <w:rPr>
          <w:rFonts w:ascii="Times New Roman;serif" w:hAnsi="Times New Roman;serif"/>
          <w:b w:val="false"/>
          <w:color w:val="000000"/>
          <w:sz w:val="24"/>
        </w:rPr>
        <w:t>), at which point the Issuer’s obligation to issue and deliver such certificate or credit the Holder’s balance account with DTC for the shares of Common Stock to which the Holder is entitled upon the Holder’s exchange of the applicable Outstanding Amount shall terminate, or (y) promptly honor its obligation to deliver to the Holder a certificate or certificates representing such shares of Issuer Common Stock or credit the Holder’s balance account with DTC for such shares of Issuer Common Stock and pay cash to the Holder in an amount equal to the excess (if any) of the Buy-In Price over the product of (A) such number of shares of Issuer Common Stock, times (B) any trading price of the Issuer Common Stock selected by the Holder in writing as in effect at any time during the period beginning on the applicable Exchange Date and ending on the date of such issuance and payment under this clause (y); provided that, if the Issuer so delivers cash under clause (x) or Issuer Common Stock under clause (y), no Event of Default shall have occurred under Section 5(a)(iv) with respect to any such Exchange Failure. Nothing herein shall limit the Holder’s right to pursue any other remedies available to it hereunder, at law or in equity, including, without limitation, a decree of specific performance and/or injunctive relief with respect to the Issuer’s failure to timely deliver certificates representing shares of Issuer Common Stock (or to electronically deliver such shares of Issuer Common Stock) upon the exchange of this Note as required pursuant to the terms hereof. Notwithstanding the foregoing, the Issuer shall not incur Indebtedness to pay the Buy-In Price and the Buy-In Price shall not constitute Permitted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Pro Rata Exchange; Disputes</w:t>
      </w:r>
      <w:r>
        <w:rPr>
          <w:rFonts w:ascii="Times New Roman;serif" w:hAnsi="Times New Roman;serif"/>
          <w:b w:val="false"/>
          <w:color w:val="000000"/>
          <w:sz w:val="24"/>
        </w:rPr>
        <w:t>. In the event that the Issuer receives an Exchange Notice from the Holder and one or more holders of Other Notes for the same Exchange Date and the Issuer can exchange some, but not all, of such portions of the Notes submitted for exchange, the Issuer, subject to Section 3(e), shall exchange from the Holder and each holder of Other Notes electing to have Notes exchanged on such date, a pro rata amount of such holder’s portion of the Note and the Other Notes submitted for exchange based on the Principal amount of this Note and the Other Notes submitted for exchange on such date by such holder relative to the aggregate Principal amount of this Note and principal amounts of all Other Notes submitted for exchange on such date. In the event of a dispute as to the number of shares of Issuer Common Stock issuable to the Holder in connection with an exchange of this Note, the Issuer shall issue to the Holder the number of shares of Issuer Common Stock not in dispute and resolve such dispute in accordance with Section 24.</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Mandatory Exchange</w:t>
      </w:r>
      <w:r>
        <w:rPr>
          <w:rFonts w:ascii="Times New Roman;serif" w:hAnsi="Times New Roman;serif"/>
          <w:b w:val="false"/>
          <w:color w:val="000000"/>
          <w:sz w:val="24"/>
        </w:rPr>
        <w:t>. If on any applicable date of determination occurring following the Stockholder Approval Date, (i) the Required Holders deliver to the Issuer one or more Exchange Notice(s) to exchange at least a majority of the aggregate principal amount of the Notes then outstanding or (ii) the Company consummates the CVR Closing (any such date, the “</w:t>
      </w:r>
      <w:r>
        <w:rPr>
          <w:rFonts w:ascii="Times New Roman;serif" w:hAnsi="Times New Roman;serif"/>
          <w:b/>
          <w:color w:val="000000"/>
          <w:sz w:val="24"/>
        </w:rPr>
        <w:t>Mandatory Exchange Trigger Date</w:t>
      </w:r>
      <w:r>
        <w:rPr>
          <w:color w:val="000000"/>
        </w:rPr>
        <w:t>”</w:t>
      </w:r>
      <w:r>
        <w:rPr>
          <w:rFonts w:ascii="Times New Roman;serif" w:hAnsi="Times New Roman;serif"/>
          <w:b w:val="false"/>
          <w:color w:val="000000"/>
          <w:sz w:val="24"/>
        </w:rPr>
        <w:t xml:space="preserve">), the Issuer shall, then, have the right (but not the obligation) to require the Holder and the holders of the Other Notes to exchange all, but not less than all, of the Outstanding Amount then remaining outstanding under this Note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Outstanding Amount (as defined in the Other Notes) remaining outstanding under the Other Notes, as designated in the Mandatory Exchange Notice (as defined below) relating to the Mandatory Exchange on the Mandatory Exchange Date into fully paid, validly issued and nonassessable shares of Issuer Common Stock at the Exchange / Conversion Price as of the Mandatory Exchange Date (a “</w:t>
      </w:r>
      <w:r>
        <w:rPr>
          <w:rFonts w:ascii="Times New Roman;serif" w:hAnsi="Times New Roman;serif"/>
          <w:b/>
          <w:color w:val="000000"/>
          <w:sz w:val="24"/>
        </w:rPr>
        <w:t>Mandatory Exchange</w:t>
      </w:r>
      <w:r>
        <w:rPr>
          <w:color w:val="000000"/>
        </w:rPr>
        <w:t>”</w:t>
      </w:r>
      <w:r>
        <w:rPr>
          <w:rFonts w:ascii="Times New Roman;serif" w:hAnsi="Times New Roman;serif"/>
          <w:b w:val="false"/>
          <w:color w:val="000000"/>
          <w:sz w:val="24"/>
        </w:rPr>
        <w:t>). The Issuer may exercise its right to require exchange under this Section 3(d) by delivering within not more than two (2) Trading Days following the Mandatory Exchange Trigger Date a written notice thereof by electronic mail to the Holder, the holders of the Other Notes, the Company and the Transfer Agent (a “</w:t>
      </w:r>
      <w:r>
        <w:rPr>
          <w:rFonts w:ascii="Times New Roman;serif" w:hAnsi="Times New Roman;serif"/>
          <w:b/>
          <w:color w:val="000000"/>
          <w:sz w:val="24"/>
        </w:rPr>
        <w:t>Mandatory Exchange Notice</w:t>
      </w:r>
      <w:r>
        <w:rPr>
          <w:color w:val="000000"/>
        </w:rPr>
        <w:t xml:space="preserve">” </w:t>
      </w:r>
      <w:r>
        <w:rPr>
          <w:rFonts w:ascii="Times New Roman;serif" w:hAnsi="Times New Roman;serif"/>
          <w:b w:val="false"/>
          <w:color w:val="000000"/>
          <w:sz w:val="24"/>
        </w:rPr>
        <w:t>and the date the Issuer delivers to the Holder, the holders of Other Notes, the Company and the Transfer Agent such notice is referred to as a “</w:t>
      </w:r>
      <w:r>
        <w:rPr>
          <w:rFonts w:ascii="Times New Roman;serif" w:hAnsi="Times New Roman;serif"/>
          <w:b/>
          <w:color w:val="000000"/>
          <w:sz w:val="24"/>
        </w:rPr>
        <w:t>Mandatory Exchange Notice Date</w:t>
      </w:r>
      <w:r>
        <w:rPr>
          <w:color w:val="000000"/>
        </w:rPr>
        <w:t>”</w:t>
      </w:r>
      <w:r>
        <w:rPr>
          <w:rFonts w:ascii="Times New Roman;serif" w:hAnsi="Times New Roman;serif"/>
          <w:b w:val="false"/>
          <w:color w:val="000000"/>
          <w:sz w:val="24"/>
        </w:rPr>
        <w:t>). Each Mandatory Exchange Notice shall be irrevocable. Each Mandatory Exchange Notice shall (i) (a) state on what date the Mandatory Exchange Trigger Date has occurred, (b) state the Trading Day on which the applicable Mandatory Exchange shall occur, which Trading Day shall be the fifth (5th) Trading Day following the applicable Mandatory Exchange Notice Date (a “</w:t>
      </w:r>
      <w:r>
        <w:rPr>
          <w:rFonts w:ascii="Times New Roman;serif" w:hAnsi="Times New Roman;serif"/>
          <w:b/>
          <w:color w:val="000000"/>
          <w:sz w:val="24"/>
        </w:rPr>
        <w:t>Mandatory Exchange Date</w:t>
      </w:r>
      <w:r>
        <w:rPr>
          <w:color w:val="000000"/>
        </w:rPr>
        <w:t>”</w:t>
      </w:r>
      <w:r>
        <w:rPr>
          <w:rFonts w:ascii="Times New Roman;serif" w:hAnsi="Times New Roman;serif"/>
          <w:b w:val="false"/>
          <w:color w:val="000000"/>
          <w:sz w:val="24"/>
        </w:rPr>
        <w:t>), (c) state the aggregate Outstanding Amount of this Note and the aggregate Outstanding Amount (as defined in the Other Notes) of the Notes which the Issuer has elected to be subject to such Mandatory Exchange from the Holder and the holders of the Other Notes pursuant to this Section 3(d) and analogous provisions under the Other Notes and (d) state the number of shares of Issuer Common Stock to be issued to the Holder on the Mandatory Exchange Date. On the Mandatory Exchange Date the Issuer shall deliver or shall cause to be delivered to the Holder (1) the number of shares of Issuer Common Stock the Holder is entitled to pursuant to Section 3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the Holder will be entitled to receive upon any Mandatory Exchange a number of shares of Issuer Common Stock which would result in the Holder and the other Attribution Parties exceeding the Maximum Percentage, then the Holder shall not be entitled to such shares of Issuer Common Stock upon a Mandatory Exchange to such extent (and shall not be entitled to beneficial ownership of such shares of Issuer Common Stock as a result of such Mandatory Exchange (and beneficial ownership) to such extent) and the portion of the shares of Issuer Common Stock issuable to the Holder pursuant to such Mandatory Exchange shall be held in abeyance for the Holder until such time or times as its right thereto would not result in the Holder and the other Attribution Parties exceeding the Maximum Percentage, at which time or times the Holder shall be granted such shares of Issuer Common Stock (and any right to receive shares of Issuer Common Stock under this Section 3(d) to be held similarly in abeyance) to the same extent as if there had been no such limitation). Notwithstanding anything to the contrary in this Section 3(d), until the Mandatory Exchange has occurred, the Outstanding Amount subject to the Mandatory Exchange may be exchanged, in whole or in part, by the Holder pursuant to Section 3 and/or converted, in whole or in part, by the Holder pursuant to Section 4. All Outstanding Amounts exchanged by the Holder after the Mandatory Exchange Notice Date shall reduce the Outstanding Amount of this Note required to be exchanged on the Mandatory Exchange Date. If the Issuer elects to cause a Mandatory Exchange pursuant to this Section 3(d), then it must simultaneously take the same action in the same proportion with respect to the Other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Exchange Limitations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 xml:space="preserve">Beneficial Ownership. </w:t>
      </w:r>
      <w:r>
        <w:rPr>
          <w:rFonts w:ascii="Times New Roman;serif" w:hAnsi="Times New Roman;serif"/>
          <w:b w:val="false"/>
          <w:color w:val="000000"/>
          <w:sz w:val="24"/>
        </w:rPr>
        <w:t xml:space="preserve">The Holder may notify the Issuer in writing in the event it elects to be subject to the provisions contained in this Section 3(e)(i); however, the Holder shall not be subject to this Section 3(e)(i) unless he, she or it makes such election. If the election is made by the Holder, then, notwithstanding anything to the contrary contained herein, the Issuer shall not issue any shares of Issuer Common Stock pursuant to the terms of this Note, and the Holder shall not have the right to any shares of Issuer Common Stock otherwise issuable pursuant to the terms of this Note and any such issuance shall be null and void and treated as if never made, to the extent that after giving effect to such issuance, the Holder together with the other Attribution Parties collectively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would beneficially own in excess of the Maximum Percentage of the number of shares of Issuer Common Stock outstanding immediately after giving effect to such issuance. For purposes of the foregoing sentence, the aggregate number of shares of Issuer Common Stock beneficially owned by the Holder and the other Attribution Parties shall include the number of shares of Issuer Common Stock held by the Holder and all other Attribution Parties plus the number of shares of Issuer Common Stock issuable upon exchange of this Note with respect to which the determination of such sentence is being made, but shall exclude the number of shares of Issuer Common Stock which would be issuable upon (i) exchange of the remaining, nonexchanged portion of this Note beneficially owned by the Holder or any of the other Attribution Parties and (ii) exercise or exchange of the unexercised, unconverted or nonexchanged portion of any other securities of the Issuer (including, without limitation, any convertible or exchangeable notes or convertible or exchangeable preferred stock or warrants) beneficially owned by the Holder or any other Attribution Party subject to a limitation on conversion, exchange or exercise analogous to the limitation contained in this Section 3(e)(i). For purposes of this Section 3(e)(i), beneficial ownership shall be calculated in accordance with Section 13(d) of the Exchange Act. For purposes of determining the number of outstanding shares of Issuer Common Stock the Holder may acquire upon the conversion or exchange of the Note without exceeding the Maximum Percentage, the Holder may rely on the number of outstanding shares of Issuer Common Stock as reflected in (i) the Issuer’s most recent Annual Report on Form 10-K, Quarterly Report on Form 10-Q, Current Report on Form 8-K or other public filing with the SEC, as the case may be, (ii) a more recent public announcement by the Issuer or (iii) any other written notice by the Issuer or the Transfer Agent setting forth the number of shares of Issuer Common Stock outstanding (the “</w:t>
      </w:r>
      <w:r>
        <w:rPr>
          <w:rFonts w:ascii="Times New Roman;serif" w:hAnsi="Times New Roman;serif"/>
          <w:b/>
          <w:color w:val="000000"/>
          <w:sz w:val="24"/>
        </w:rPr>
        <w:t>Reported Outstanding Share Number</w:t>
      </w:r>
      <w:r>
        <w:rPr>
          <w:color w:val="000000"/>
        </w:rPr>
        <w:t>”</w:t>
      </w:r>
      <w:r>
        <w:rPr>
          <w:rFonts w:ascii="Times New Roman;serif" w:hAnsi="Times New Roman;serif"/>
          <w:b w:val="false"/>
          <w:color w:val="000000"/>
          <w:sz w:val="24"/>
        </w:rPr>
        <w:t>). If the Issuer receives an Exchange Notice from the Holder at a time when the actual number of outstanding shares of Issuer Common Stock is less than the Reported Outstanding Share Number, the Issuer shall notify the Holder in writing of the number of shares of Issuer Common Stock then outstanding and, to the extent that such Exchange Notice would otherwise cause the Holder’s beneficial ownership, as determined pursuant to this Section 3(e)(i), to exceed the Maximum Percentage, the Holder shall notify the Issuer of a reduced number of shares of Issuer Common Stock to be purchased pursuant to such Exchange Notice. For any reason at any time, upon the written or oral request of the Holder, the Issuer shall within one (1) Business Day confirm orally and in writing or by electronic mail to the Holder the number of shares of Issuer Common Stock then outstanding. In any case, the number of outstanding shares of Issuer Common Stock shall be determined after giving effect to the exchange, conversion or exercise of securities of the Issuer, including this Note, by the Holder and any other Attribution Party since the date as of which the Reported Outstanding Share Number was reported. In the event that the issuance of shares of Issuer Common Stock to the Holder upon exchange of this Note results in the Holder and the other Attribution Parties being deemed to beneficially own, in the aggregate, more than the Maximum Percentage of the number of outstanding shares of Issuer Common Stock (as determined under Section 13(d) of the Exchange Act), the number of shares so issued by which the Holder’s and the other Attribution Parties’ aggregate beneficial ownership exceeds the Maximum Percentage (the “</w:t>
      </w:r>
      <w:r>
        <w:rPr>
          <w:rFonts w:ascii="Times New Roman;serif" w:hAnsi="Times New Roman;serif"/>
          <w:b/>
          <w:color w:val="000000"/>
          <w:sz w:val="24"/>
        </w:rPr>
        <w:t>Excess Shares</w:t>
      </w:r>
      <w:r>
        <w:rPr>
          <w:color w:val="000000"/>
        </w:rPr>
        <w:t>”</w:t>
      </w:r>
      <w:r>
        <w:rPr>
          <w:rFonts w:ascii="Times New Roman;serif" w:hAnsi="Times New Roman;serif"/>
          <w:b w:val="false"/>
          <w:color w:val="000000"/>
          <w:sz w:val="24"/>
        </w:rPr>
        <w:t>) shall be deemed null and void and shall be cancelled ab initio and any portion of the Outstanding Amount so exchanged shall be reinstated, and the Holder shall not have the power to vote or to transfer the Excess Shares. Upon delivery of a written notice to the Issuer, the Holder may from time to time increase or decrease the Maximum Percentage to any other percentage not in excess of 19.99% as specified in such notice; provided that (i) any such increase in the Maximum Percentage will not be effective until the sixty-first (61</w:t>
      </w:r>
      <w:r>
        <w:rPr>
          <w:rFonts w:ascii="Times New Roman;serif" w:hAnsi="Times New Roman;serif"/>
          <w:b w:val="false"/>
          <w:color w:val="000000"/>
          <w:sz w:val="16"/>
        </w:rPr>
        <w:t>st</w:t>
      </w:r>
      <w:r>
        <w:rPr>
          <w:rFonts w:ascii="Times New Roman;serif" w:hAnsi="Times New Roman;serif"/>
          <w:b w:val="false"/>
          <w:color w:val="000000"/>
          <w:sz w:val="24"/>
        </w:rPr>
        <w:t xml:space="preserve">) day after such notice is delivered to the Issuer, (ii) such decrease may not be effected between a Mandatory Exchange Notice Date and the Mandatory Exchange Date and (iii) any such increase or decrease will apply only to the Holder and the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Attribution Parties and not to any other holder of Notes that is not an Attribution Party of the Holder. For purposes of clarity, the shares of Issuer Common Stock issuable pursuant to the terms of this Note in excess of the Maximum Percentage shall not be deemed to be beneficially owned by the Holder for any purpose including for purposes of Section 13(d) or Rule 16a-1(a)(1) of the Exchange Act. No prior inability to exchange this Note pursuant to this paragraph shall have any effect on the applicability of the provisions of this paragraph with respect to any subsequent determination of exchangeability. The provisions of this paragraph shall be construed and implemented in a manner otherwise than in strict conformity with the terms of this Section 3(e)(i) to the extent necessary to correct this paragraph (or any portion of this paragraph) which may be defective or inconsistent with the intended beneficial ownership limitation contained in this Section 3(e)(i) or to make changes or supplements necessary or desirable to properly give effect to such limitation. The limitation contained in this paragraph may not be waived and shall apply to a successor holder of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Principal Market Regulation</w:t>
      </w:r>
      <w:r>
        <w:rPr>
          <w:rFonts w:ascii="Times New Roman;serif" w:hAnsi="Times New Roman;serif"/>
          <w:b w:val="false"/>
          <w:color w:val="000000"/>
          <w:sz w:val="24"/>
        </w:rPr>
        <w:t>. The Issuer shall not be obligated to issue any shares of Issuer Common Stock pursuant to the terms of this Note, and the Holder shall not have the right to receive pursuant to the terms of this Note any shares of Issuer Common Stock, to the extent the issuance of such shares of Issuer Common Stock would exceed the aggregate number of shares of Issuer Common Stock which the Issuer may issue pursuant to the terms of the Notes without breaching the Issuer’s obligations under the rules or regulations of the Principal Market (the “</w:t>
      </w:r>
      <w:r>
        <w:rPr>
          <w:rFonts w:ascii="Times New Roman;serif" w:hAnsi="Times New Roman;serif"/>
          <w:b/>
          <w:color w:val="000000"/>
          <w:sz w:val="24"/>
        </w:rPr>
        <w:t>Exchange Cap</w:t>
      </w:r>
      <w:r>
        <w:rPr>
          <w:color w:val="000000"/>
        </w:rPr>
        <w:t>”</w:t>
      </w:r>
      <w:r>
        <w:rPr>
          <w:rFonts w:ascii="Times New Roman;serif" w:hAnsi="Times New Roman;serif"/>
          <w:b w:val="false"/>
          <w:color w:val="000000"/>
          <w:sz w:val="24"/>
        </w:rPr>
        <w:t>), except that such limitation shall not apply in the event that the Issuer obtains the Stockholder Approval for issuances of Issuer Common Stock in excess of such amount. Until the Stockholder Approval is obtained, no Buyer shall be issued in the aggregate, pursuant to the terms of the Notes, shares of Issuer Common Stock in an amount greater than the product of the Exchange Cap multiplied by a fraction, the numerator of which is the Principal amount of Notes issued to such Buyer pursuant to the Securities Purchase Agreement and the denominator of which is the aggregate principal amount of all Notes issued to the Buyers pursuant to the Securities Purchase Agreement (with respect to each Buyer, the “</w:t>
      </w:r>
      <w:r>
        <w:rPr>
          <w:rFonts w:ascii="Times New Roman;serif" w:hAnsi="Times New Roman;serif"/>
          <w:b/>
          <w:color w:val="000000"/>
          <w:sz w:val="24"/>
        </w:rPr>
        <w:t>Exchange Cap Allocation</w:t>
      </w:r>
      <w:r>
        <w:rPr>
          <w:color w:val="000000"/>
        </w:rPr>
        <w:t>”</w:t>
      </w:r>
      <w:r>
        <w:rPr>
          <w:rFonts w:ascii="Times New Roman;serif" w:hAnsi="Times New Roman;serif"/>
          <w:b w:val="false"/>
          <w:color w:val="000000"/>
          <w:sz w:val="24"/>
        </w:rPr>
        <w:t>). In the event that any Buyer shall sell or otherwise transfer any of such Buyer’s Notes, the transferee shall be allocated a pro rata portion of such Buyer’s Exchange Cap Allocation with respect to such portion of such Notes transferred, and the restrictions of the prior sentence shall apply to such transferee with respect to the portion of the Exchange Cap Allocation allocated to such transferee. In the event that any holder of Notes shall exchange all of such holder’s Notes into a number of shares of Issuer Common Stock which, in the aggregate, is less than such holder’s Exchange Cap Allocation, then the difference between such holder’s Exchange Cap Allocation and the number of shares of Issuer Common Stock actually issued to such holder shall be allocated to the respective Exchange Cap Allocations of the remaining holders of Notes on a pro rata basis in proportion to the aggregate principal amount of the Notes then held by each such holder. In the event that after August 31, 2026, the Issuer is prohibited from issuing any shares of Issuer Common Stock for which an Exchange Notice has been delivered as a result of the operation of this Section 3(e)(ii), the Issuer shall within two (2) Trading Days of the applicable attempted conversion pay cash in exchange for cancellation of the Conversion Amount that is subject to such Conversion Notice, at a price per share of Issuer Common Stock that would have been issuable upon such conversion if this Section 3(e)(ii) were not in effect, equal to the highest Weighted Average Price of the Issuer Common Stock during the period beginning on the date of the applicable Exchange Date and ending on the date the Issuer makes the applicable cash payment.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For the avoidance of doubt, the right to convert this Note into Company Common Stock and the right to exchange this Note for shares of Issuer Common Stock are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mutually exclusive. Therefore, if the Holder exercises its right to convert this Note into Company Common Stock (whether in whole or in part), the right to exchange this Note into shares of Issuer Common Stock shall immediately terminate with respect to the Outstanding Amount subject to such conversion.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CONVERSION OF NOTES</w:t>
      </w:r>
      <w:r>
        <w:rPr>
          <w:rFonts w:ascii="Times New Roman;serif" w:hAnsi="Times New Roman;serif"/>
          <w:b w:val="false"/>
          <w:color w:val="000000"/>
          <w:sz w:val="24"/>
        </w:rPr>
        <w:t>. At any time or times after the Issuance Date, but not prior to the completion of the Holding Company Reorganization, this Note shall be convertible into validly issued, fully paid and nonassessable Company Common Stock, on the terms and conditions set forth in this Section 4.</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Conversion Right</w:t>
      </w:r>
      <w:r>
        <w:rPr>
          <w:rFonts w:ascii="Times New Roman;serif" w:hAnsi="Times New Roman;serif"/>
          <w:b w:val="false"/>
          <w:color w:val="000000"/>
          <w:sz w:val="24"/>
        </w:rPr>
        <w:t>. At any time or times on or after the Issuance Date and ending on the date immediately preceding the Maturity Date, the Holder shall be entitled to convert all or any portion of the outstanding and unpaid Outstanding Amount, as selected by the Holder, into validly issued, fully paid and nonassessable Company Common Stock in accordance with Section 4(c), at the Exchange / Conversion Price. The Company shall not issue any fraction of a share of Company Common Stock upon any conversion. If the issuance would result in the issuance of a fraction of a share of Company Common Stock, the Company shall round such fraction of a share of Company Common Stock up to the nearest whole share. The Company shall pay any and all transfer, stamp, issuance and similar taxes, costs and expenses (including, without limitation, fees and expenses of the Company’s transfer agent (the “</w:t>
      </w:r>
      <w:r>
        <w:rPr>
          <w:rFonts w:ascii="Times New Roman;serif" w:hAnsi="Times New Roman;serif"/>
          <w:b/>
          <w:color w:val="000000"/>
          <w:sz w:val="24"/>
        </w:rPr>
        <w:t>Transfer Agent</w:t>
      </w:r>
      <w:r>
        <w:rPr>
          <w:color w:val="000000"/>
        </w:rPr>
        <w:t>”</w:t>
      </w:r>
      <w:r>
        <w:rPr>
          <w:rFonts w:ascii="Times New Roman;serif" w:hAnsi="Times New Roman;serif"/>
          <w:b w:val="false"/>
          <w:color w:val="000000"/>
          <w:sz w:val="24"/>
        </w:rPr>
        <w:t>)), if any, that may be payable with respect to the issuance and delivery of Company Common Stock upon conversion of any Outstanding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Conversion Rate</w:t>
      </w:r>
      <w:r>
        <w:rPr>
          <w:rFonts w:ascii="Times New Roman;serif" w:hAnsi="Times New Roman;serif"/>
          <w:b w:val="false"/>
          <w:color w:val="000000"/>
          <w:sz w:val="24"/>
        </w:rPr>
        <w:t>. The number of Company Common Stock issuable upon conversion of any Outstanding Amount pursuant to Section 4(a) shall be determined by dividing (x) such Outstanding Amount by (y) the Exchange / Conversion Price.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Optional Conversion</w:t>
      </w:r>
      <w:r>
        <w:rPr>
          <w:rFonts w:ascii="Times New Roman;serif" w:hAnsi="Times New Roman;serif"/>
          <w:b w:val="false"/>
          <w:color w:val="000000"/>
          <w:sz w:val="24"/>
        </w:rPr>
        <w:t>. To convert any Outstanding Amount into Company Common Stock on any date (a “</w:t>
      </w:r>
      <w:r>
        <w:rPr>
          <w:rFonts w:ascii="Times New Roman;serif" w:hAnsi="Times New Roman;serif"/>
          <w:b/>
          <w:color w:val="000000"/>
          <w:sz w:val="24"/>
        </w:rPr>
        <w:t>Conversion Date</w:t>
      </w:r>
      <w:r>
        <w:rPr>
          <w:color w:val="000000"/>
        </w:rPr>
        <w:t>”</w:t>
      </w:r>
      <w:r>
        <w:rPr>
          <w:rFonts w:ascii="Times New Roman;serif" w:hAnsi="Times New Roman;serif"/>
          <w:b w:val="false"/>
          <w:color w:val="000000"/>
          <w:sz w:val="24"/>
        </w:rPr>
        <w:t xml:space="preserve">), the Holder shall (A) transmit by electronic mail (or otherwise deliver), for delivery on or prior to 11:59 p.m., New York time, on such date, a copy of an executed notice of conversion in the form attached hereto as </w:t>
      </w:r>
      <w:r>
        <w:rPr>
          <w:rFonts w:ascii="Times New Roman;serif" w:hAnsi="Times New Roman;serif"/>
          <w:b w:val="false"/>
          <w:color w:val="000000"/>
          <w:sz w:val="24"/>
          <w:u w:val="single"/>
        </w:rPr>
        <w:t>Exhibit II</w:t>
      </w:r>
      <w:r>
        <w:rPr>
          <w:color w:val="000000"/>
        </w:rPr>
        <w:t xml:space="preserve"> </w:t>
      </w:r>
      <w:r>
        <w:rPr>
          <w:rFonts w:ascii="Times New Roman;serif" w:hAnsi="Times New Roman;serif"/>
          <w:b w:val="false"/>
          <w:color w:val="000000"/>
          <w:sz w:val="24"/>
        </w:rPr>
        <w:t>(a “</w:t>
      </w:r>
      <w:r>
        <w:rPr>
          <w:rFonts w:ascii="Times New Roman;serif" w:hAnsi="Times New Roman;serif"/>
          <w:b/>
          <w:color w:val="000000"/>
          <w:sz w:val="24"/>
        </w:rPr>
        <w:t>Conversion Notice</w:t>
      </w:r>
      <w:r>
        <w:rPr>
          <w:color w:val="000000"/>
        </w:rPr>
        <w:t>”</w:t>
      </w:r>
      <w:r>
        <w:rPr>
          <w:rFonts w:ascii="Times New Roman;serif" w:hAnsi="Times New Roman;serif"/>
          <w:b w:val="false"/>
          <w:color w:val="000000"/>
          <w:sz w:val="24"/>
        </w:rPr>
        <w:t>) to the Company and (B) if required by Section 19(e), but without delaying the Company’s requirement to deliver Company Common Stock on the applicable Company Share Delivery Date (as defined below), surrender this Note to a common carrier for delivery to the Company as soon as practicable on or following the applicable Conversion Date on which the Holder submitted a Conversion Notice to the Company electing to convert the full Outstanding Amount represented by this Note (or an indemnification undertaking with respect to the Note in the case of its loss, theft, destruction or mutilation in compliance with the procedures set forth in Section 19(b)). No ink-original Conversion Notice shall be required, nor shall any medallion guarantee (or other type of guarantee or notarization) of any Conversion Notice be required. On or before the first (1st) Trading Day following the date of delivery of a Conversion Notice, the Company shall transmit by electronic mail a confirmation of receipt of such Conversion Notice to the Holder and Transfer Agent, if any, which confirmation shall constitute an instruction to the Transfer Agent to process such Conversion Notice in accordance with the terms therein. On or before the first (1</w:t>
      </w:r>
      <w:r>
        <w:rPr>
          <w:rFonts w:ascii="Times New Roman;serif" w:hAnsi="Times New Roman;serif"/>
          <w:b w:val="false"/>
          <w:color w:val="000000"/>
          <w:sz w:val="16"/>
        </w:rPr>
        <w:t>st</w:t>
      </w:r>
      <w:r>
        <w:rPr>
          <w:rFonts w:ascii="Times New Roman;serif" w:hAnsi="Times New Roman;serif"/>
          <w:b w:val="false"/>
          <w:color w:val="000000"/>
          <w:sz w:val="24"/>
        </w:rPr>
        <w:t>) Trading Day following the date on which the Holder has delivered a Conversion Notice to the Company (a “</w:t>
      </w:r>
      <w:r>
        <w:rPr>
          <w:rFonts w:ascii="Times New Roman;serif" w:hAnsi="Times New Roman;serif"/>
          <w:b/>
          <w:color w:val="000000"/>
          <w:sz w:val="24"/>
        </w:rPr>
        <w:t>Company Share Delivery Date</w:t>
      </w:r>
      <w:r>
        <w:rPr>
          <w:color w:val="000000"/>
        </w:rPr>
        <w:t>”</w:t>
      </w:r>
      <w:r>
        <w:rPr>
          <w:rFonts w:ascii="Times New Roman;serif" w:hAnsi="Times New Roman;serif"/>
          <w:b w:val="false"/>
          <w:color w:val="000000"/>
          <w:sz w:val="24"/>
        </w:rPr>
        <w:t xml:space="preserve">), the Company shall issue and deliver to the address as specified in the Conversion Notice, a certificate, registered in the name of the Holder or its designee, for the number of Company Common Stock to which the Holder shall be entitled pursuant to such conversion. If this Note is physically surrendered for conversion as required by Section 19(e) and the outstanding Principal of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this Note is greater than the Principal portion of the Outstanding Amount being converted, then the Company shall as soon as practicable and in no event later than two (2) Business Days after delivery of this Note and at its own expense, issue and deliver to the Holder (or its designee) a new Note (in accordance with Section 19(d)) representing the outstanding Principal not converted. The Company’s obligations to issue and deliver Company Common Stock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Company’s Failure to Timely Convert</w:t>
      </w:r>
      <w:r>
        <w:rPr>
          <w:rFonts w:ascii="Times New Roman;serif" w:hAnsi="Times New Roman;serif"/>
          <w:b w:val="false"/>
          <w:color w:val="000000"/>
          <w:sz w:val="24"/>
        </w:rPr>
        <w:t>. If the Company shall fail on or prior to the applicable Company Share Delivery Date to issue and deliver a certificate to the Holder for the number of Company Common Stock to which the Holder is entitled upon the Holder’s conversion of any Outstanding Amount (a “</w:t>
      </w:r>
      <w:r>
        <w:rPr>
          <w:rFonts w:ascii="Times New Roman;serif" w:hAnsi="Times New Roman;serif"/>
          <w:b/>
          <w:color w:val="000000"/>
          <w:sz w:val="24"/>
        </w:rPr>
        <w:t>Conversion Failure</w:t>
      </w:r>
      <w:r>
        <w:rPr>
          <w:color w:val="000000"/>
        </w:rPr>
        <w:t>”</w:t>
      </w:r>
      <w:r>
        <w:rPr>
          <w:rFonts w:ascii="Times New Roman;serif" w:hAnsi="Times New Roman;serif"/>
          <w:b w:val="false"/>
          <w:color w:val="000000"/>
          <w:sz w:val="24"/>
        </w:rPr>
        <w:t xml:space="preserve">), then, in addition to all other remedies available to the Holder or the Collateral Agent (A) an Event of Default shall have occurred under Section 5(a)(iv)(B) and (B) the Holder, upon written notice to the Company, may void its Conversion Notice with respect to, and retain or have returned, as the case may be, any portion of this Note that has not been converted pursuant to such Conversion Notice;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voiding of a Conversion Notice shall not affect the Company’s obligations to make any payments which have accrued prior to the date of such notice pursuant to this Section 4(c)(ii) or otherwise.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Company Common Stock upon the conversion of this Note as required pursuant to the terms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Pro Rata Conversion; Disputes</w:t>
      </w:r>
      <w:r>
        <w:rPr>
          <w:rFonts w:ascii="Times New Roman;serif" w:hAnsi="Times New Roman;serif"/>
          <w:b w:val="false"/>
          <w:color w:val="000000"/>
          <w:sz w:val="24"/>
        </w:rPr>
        <w:t>. In the event that the Company receives a Conversion Notice from the Holder and one or more holders of Other Notes for the same Conversion Date and the Company can exchange some, but not all, of such portions of the Notes submitted for conversion, the Company shall convert from the Holder and each holder of Other Notes electing to have Notes converted on such date, a pro rata amount of such holder’s portion of the Note and the Other Notes submitted for conversion based on the Principal amount of this Note and the Other Notes submitted for conversion on such date by such holder relative to the aggregate Principal amount of this Note and principal amounts of all Other Notes submitted for conversion on such date. In the event of a dispute as to the number of Company Common Stock issuable to the Holder in connection with a conversion of this Note, the Company shall issue to the Holder the number of Company Common Stock not in dispute and resolve such dispute in accordance with Section 24.</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Mandatory Conversion</w:t>
      </w:r>
      <w:r>
        <w:rPr>
          <w:rFonts w:ascii="Times New Roman;serif" w:hAnsi="Times New Roman;serif"/>
          <w:b w:val="false"/>
          <w:color w:val="000000"/>
          <w:sz w:val="24"/>
        </w:rPr>
        <w:t>. If on any applicable date of determination occurring following the Issuance Date, (i) the Required Holders deliver to the Company one or more Conversion Notice(s) to convert at least a majority of the aggregate principal amount of the Notes then outstanding or (ii) the Company consummates the CVR Closing and the Notes are not exchanged pursuant to Section 3(d)(ii) because the Stockholder Approval Date has not yet occurred (such date, the “</w:t>
      </w:r>
      <w:r>
        <w:rPr>
          <w:rFonts w:ascii="Times New Roman;serif" w:hAnsi="Times New Roman;serif"/>
          <w:b/>
          <w:color w:val="000000"/>
          <w:sz w:val="24"/>
        </w:rPr>
        <w:t>Mandatory Conversion Trigger Date</w:t>
      </w:r>
      <w:r>
        <w:rPr>
          <w:color w:val="000000"/>
        </w:rPr>
        <w:t>”</w:t>
      </w:r>
      <w:r>
        <w:rPr>
          <w:rFonts w:ascii="Times New Roman;serif" w:hAnsi="Times New Roman;serif"/>
          <w:b w:val="false"/>
          <w:color w:val="000000"/>
          <w:sz w:val="24"/>
        </w:rPr>
        <w:t xml:space="preserve">), the Company shall, then, have the right (but not the obligation) to require the Holder and the holders of the Other Notes to convert all, but not less than all, of the Outstanding Amount then remaining outstanding under this Note and the Outstanding Amount (as defined in the Other Notes) remaining outstanding under the Other Notes, as designated in the Mandatory Conversion Notice (as defined below) relating to the Mandatory Conversion on the Mandatory Conversion Date into fully paid, validly issued and nonassessable Company Common Stock at the Exchange / Conversion Price as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Mandatory Conversion Date (a “</w:t>
      </w:r>
      <w:r>
        <w:rPr>
          <w:rFonts w:ascii="Times New Roman;serif" w:hAnsi="Times New Roman;serif"/>
          <w:b/>
          <w:color w:val="000000"/>
          <w:sz w:val="24"/>
        </w:rPr>
        <w:t>Mandatory Conversion</w:t>
      </w:r>
      <w:r>
        <w:rPr>
          <w:color w:val="000000"/>
        </w:rPr>
        <w:t>”</w:t>
      </w:r>
      <w:r>
        <w:rPr>
          <w:rFonts w:ascii="Times New Roman;serif" w:hAnsi="Times New Roman;serif"/>
          <w:b w:val="false"/>
          <w:color w:val="000000"/>
          <w:sz w:val="24"/>
        </w:rPr>
        <w:t>). The Company may exercise its right to require convert under this Section 4(d) by delivering within not more than two (2) Trading Days following the Mandatory Conversion Trigger Date a written notice thereof by electronic mail to the Holder, the holders of the Other Notes, the Company and the Transfer Agent (a “</w:t>
      </w:r>
      <w:r>
        <w:rPr>
          <w:rFonts w:ascii="Times New Roman;serif" w:hAnsi="Times New Roman;serif"/>
          <w:b/>
          <w:color w:val="000000"/>
          <w:sz w:val="24"/>
        </w:rPr>
        <w:t>Mandatory Conversion Notice</w:t>
      </w:r>
      <w:r>
        <w:rPr>
          <w:color w:val="000000"/>
        </w:rPr>
        <w:t xml:space="preserve">” </w:t>
      </w:r>
      <w:r>
        <w:rPr>
          <w:rFonts w:ascii="Times New Roman;serif" w:hAnsi="Times New Roman;serif"/>
          <w:b w:val="false"/>
          <w:color w:val="000000"/>
          <w:sz w:val="24"/>
        </w:rPr>
        <w:t>and the date the Company delivers to the Holder, the holders of Other Notes, the Company and the Transfer Agent such notice is referred to as a “</w:t>
      </w:r>
      <w:r>
        <w:rPr>
          <w:rFonts w:ascii="Times New Roman;serif" w:hAnsi="Times New Roman;serif"/>
          <w:b/>
          <w:color w:val="000000"/>
          <w:sz w:val="24"/>
        </w:rPr>
        <w:t>Mandatory Conversion Notice Date</w:t>
      </w:r>
      <w:r>
        <w:rPr>
          <w:color w:val="000000"/>
        </w:rPr>
        <w:t>”</w:t>
      </w:r>
      <w:r>
        <w:rPr>
          <w:rFonts w:ascii="Times New Roman;serif" w:hAnsi="Times New Roman;serif"/>
          <w:b w:val="false"/>
          <w:color w:val="000000"/>
          <w:sz w:val="24"/>
        </w:rPr>
        <w:t>). Each Mandatory Conversion Notice shall be irrevocable. Each Mandatory Conversion Notice shall (a) state on what date the Mandatory Conversion Trigger Date has occurred, (b) state the Trading Day on which the applicable Mandatory Conversion shall occur, which Trading Day shall be the fifth (5th) Trading Day following the applicable Mandatory Conversion Notice Date (a “</w:t>
      </w:r>
      <w:r>
        <w:rPr>
          <w:rFonts w:ascii="Times New Roman;serif" w:hAnsi="Times New Roman;serif"/>
          <w:b/>
          <w:color w:val="000000"/>
          <w:sz w:val="24"/>
        </w:rPr>
        <w:t>Mandatory Conversion Date</w:t>
      </w:r>
      <w:r>
        <w:rPr>
          <w:color w:val="000000"/>
        </w:rPr>
        <w:t>”</w:t>
      </w:r>
      <w:r>
        <w:rPr>
          <w:rFonts w:ascii="Times New Roman;serif" w:hAnsi="Times New Roman;serif"/>
          <w:b w:val="false"/>
          <w:color w:val="000000"/>
          <w:sz w:val="24"/>
        </w:rPr>
        <w:t>), (c) state the aggregate Outstanding Amount of this Note and the aggregate Outstanding Amount (as defined in the Other Notes) of the Notes which the Company has elected to be subject to such Mandatory Conversion from the Holder and the holders of the Other Notes pursuant to this Section 4(d) and analogous provisions under the Other Notes and (d) state the number of Company Common Stock to be issued to the Holder on the Mandatory Conversion Date. On the Mandatory Conversion Date the Company shall deliver or shall cause to be delivered to the Holder (1) the number of Company Common Stock the Holder is entitled to pursuant to Section 4. Notwithstanding anything to the contrary in this Section 4(d), until the Mandatory Conversion has occurred, the Outstanding Amount subject to the Mandatory Conversion may be converted, in whole or in part, by the Holder pursuant to Section 4 and/or exchanged, in whole or in part, by the Holder pursuant to Section 3. All Outstanding Amounts converted by the Holder after the Mandatory Conversion Notice Date shall reduce the Outstanding Amount of this Note required to be converted on the Mandatory Conversion Date. If the Company elects to cause a Mandatory Conversion pursuant to this Section 4(d), then it must simultaneously take the same action in the same proportion with respect to the Other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For the avoidance of doubt, the right to exchange this Note for shares of Issuer Common Stock and the right to convert this Note into Company Common Stock are mutually exclusive. Therefore, if the Holder exercises its right to exchange this Note for shares of Issuer Common Stock (whether in whole or in part), the right to convert this Note into Company Common Stock shall immediately terminate with respect to the Outstanding Amount subject to such exchange.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RIGHTS UPON EVENT OF DEFAULT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Event of Default</w:t>
      </w:r>
      <w:r>
        <w:rPr>
          <w:rFonts w:ascii="Times New Roman;serif" w:hAnsi="Times New Roman;serif"/>
          <w:b w:val="false"/>
          <w:color w:val="000000"/>
          <w:sz w:val="24"/>
        </w:rPr>
        <w:t>. Each of the following events shall constitute an “</w:t>
      </w:r>
      <w:r>
        <w:rPr>
          <w:rFonts w:ascii="Times New Roman;serif" w:hAnsi="Times New Roman;serif"/>
          <w:b/>
          <w:color w:val="000000"/>
          <w:sz w:val="24"/>
        </w:rPr>
        <w:t>Event of Default</w:t>
      </w:r>
      <w:r>
        <w:rPr>
          <w:color w:val="000000"/>
        </w:rPr>
        <w:t xml:space="preserve">” </w:t>
      </w:r>
      <w:r>
        <w:rPr>
          <w:rFonts w:ascii="Times New Roman;serif" w:hAnsi="Times New Roman;serif"/>
          <w:b w:val="false"/>
          <w:color w:val="000000"/>
          <w:sz w:val="24"/>
        </w:rPr>
        <w:t>and each of the events in clauses (ix), (x) and (xi) shall also constitute a “</w:t>
      </w:r>
      <w:r>
        <w:rPr>
          <w:rFonts w:ascii="Times New Roman;serif" w:hAnsi="Times New Roman;serif"/>
          <w:b/>
          <w:color w:val="000000"/>
          <w:sz w:val="24"/>
        </w:rPr>
        <w:t>Bankruptcy Event of Default</w:t>
      </w:r>
      <w:r>
        <w:rPr>
          <w:color w:val="000000"/>
        </w:rPr>
        <w:t>”</w:t>
      </w:r>
      <w:r>
        <w:rPr>
          <w:rFonts w:ascii="Times New Roman;serif" w:hAnsi="Times New Roman;serif"/>
          <w:b w:val="false"/>
          <w:color w:val="000000"/>
          <w:sz w:val="24"/>
        </w:rPr>
        <w:t>; provided that, where any action or failure to act by the Lead Investor or any of its Affiliates pursuant to the First Amendment to Sublease Agreement or Letter Agreement contributed in whole or in part to such event that would otherwise constitute an Event of Default, no Event of Default shall be deemed to have occurred or be continuing under this Section 5(a):</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failure of the applicable Registration Statement to be filed with the SEC on or prior to the date that is thirty (30) days after the applicable Filing Deadline (as defined in the Registration Rights Agreement) or the failure of the applicable Registration Statement to be declared effective by the SEC on or prior to the date that is thirty (30) days after the applicable Effectiveness Deadline (as defined in the Registration Rights Agreement);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(ii)while the applicable Registration Statement is required to be maintained effective pursuant to the terms of the Registration Rights Agreement, the effectiveness of the applicable Registration Statement lapses for any reason (including,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without limitation, the issuance of a stop order) or such Registration Statement (or the prospectus contained therein) is unavailable to any holder of Registrable Securities for sale of all of such holder’s Registrable Securities in accordance with the terms of the Registration Rights Agreement, and such lapse or unavailability continues for a period of five (5) consecutive Trading Days or for more than an aggregate of ten (10) Trading Days in any 365-day period (excluding days during an Allowed Delay (as defined in the Registration Rights Agreement));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the suspension of the Issuer Common Stock from trading on an Eligible Market for a period of two (2) consecutive Trading Days or for more than an aggregate of five (5) Trading Days in any 365-day period or (B) the failure of the Issuer Common Stock to be listed on an Eligible Market;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 the Issuer’s failure to cure an Exchange Failure by delivery of the required number of shares of Issuer Common Stock within two (2) Trading Days after the applicable Exchange Date, (B) the Company’s failure to cure a Conversion Failure by delivery of the required number of Company Common Stock within two (2) Trading Days after the applicable Conversion Date or (C) the Company’s or the Issuer’s notice, written or oral, to the Holder or any holder of the Other Notes, including by way of public announcement or through any of its agents, at any time, of its intention not to comply with a request for exchange or conversion of this Note or any Other Notes into shares of Issuer Common Stock or Company Common Stock, as applicable, that is tendered in accordance with the provisions of this Note or the Other Notes, other than, in the case of an exchange, pursuant to Section 3(e) (and analogous provisions under the Other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(v)at any time following the fifth (5</w:t>
      </w:r>
      <w:r>
        <w:rPr>
          <w:rFonts w:ascii="Times New Roman;serif" w:hAnsi="Times New Roman;serif"/>
          <w:b w:val="false"/>
          <w:color w:val="000000"/>
          <w:sz w:val="16"/>
        </w:rPr>
        <w:t>th</w:t>
      </w:r>
      <w:r>
        <w:rPr>
          <w:rFonts w:ascii="Times New Roman;serif" w:hAnsi="Times New Roman;serif"/>
          <w:b w:val="false"/>
          <w:color w:val="000000"/>
          <w:sz w:val="24"/>
        </w:rPr>
        <w:t>) consecutive Business Day that the Holder’s Authorized Share Allocation is less than the Holder’s Pro Rata Amount of the applicable Required Reserve Amount (as defined in Section 10(a));</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(vi)the Issuer fails to remove any restrictive legend on any certificate or any shares of Issuer Common Stock issued to the Holder upon exchange of this Note as and when required by the Notes or the Securities Purchase Agreement, and any such failure remains uncured for at least two (2) Trading Days;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(vii)the Company’s failure to pay to the Holder any amount of Principal, Interest, Redemption Price or other amounts when and as due under this Note or any other Transaction Document if such failure continues for a period of at least an aggregate of two (2) Business Days;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(viii)any default under (which default is not cured within ten (10) Business Days), redemption of or acceleration prior to maturity of any Indebtedness of the Company, the Issuer or any of their respective Subsidiaries other than with respect to this Note or any Other Notes;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(ix)bankruptcy, insolvency, reorganization or liquidation proceedings or other proceedings for the relief of debtors shall be instituted by or against the Company, the Issuer or any of their respective Subsidiaries and, if instituted against the Company, the Issuer or any of their respective Subsidiaries by a third party, shall not be dismissed within sixty (60) days of their initiation;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(x)the commencement by the Company, the Issuer or any of their respective Subsidiaries of a voluntary case or proceeding under any applicable federal, state or foreign bankruptcy, insolvency, reorganization or other similar law or of any other case or proceeding to be adjudicated a bankrupt or insolvent, or the consent by it to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entry of a decree, order, judgment or other similar document in respect of the Company, the Issuer or any of their respective Subsidiaries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the Issuer or any of their respective Subsidiaries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the Issuer or any of their respective Subsidiaries in furtherance of any such action or the taking of any action by any Person to commence a Uniform Commercial Code foreclosure sale or any other similar action under federal, state or foreign law;</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(xi)the entry by a court of (i) a decree, order, judgment or other similar document in respect of the Company, the Issuer or any of their respective Subsidiaries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the Issuer or any of their respective Subsidiaries under any applicable federal, state or foreign law or (iii) a decree, order, judgment or other similar document appointing a custodian, receiver, liquidator, assignee, trustee, sequestrator or other similar official of the Company, the Issuer or any of their respective Subsidiaries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sixty (60) consecutive days;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(xii)a final judgment or judgments for the payment of money aggregating in excess of $250,000 are rendered against the Company, the Issuer or any of their respective Subsidiaries and which judgments are not, within sixty (60) days after the entry thereof, bonded, discharged or stayed pending appeal, or are not discharged within sixty (60) days after the expiration of such stay;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judgment which is covered by insurance or an indemnity from a credit worthy party shall not be included in calculating the $250,000 amount set forth above so long as the Company or the Issuer, as applicable, provides the Holder a written statement from such insurer or indemnity provider (which written statement shall be reasonably satisfactory to the Holder) to the effect that such judgment is covered by insurance or an indemnity and the Company, the Issuer or any of their respective Subsidiaries, as applicable, will receive the proceeds of such insurance or indemnity within thirty (30) days of the issuance of such judgment;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(xiii)other than as specifically set forth in another clause of this Section 5(a), the Company or the Issuer or any of their respective Subsidiaries breaches any representation, warranty, covenant or other term or condition of any Transaction Document, except, in the case of a breach of a covenant or other term or condition of any Transaction Document which is curable, only if such breach continues for a period of at least an aggregate of ten (10) Business Days;</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(xiv)any breach or failure in any respect to comply with either Sections 15 or 16 of this Note which is not cured within ten (10) Business Days;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(xv)any material damage to, or loss, theft or destruction of a material amount of property of the Company, the Issuer or any of their respective Subsidiaries, whether or not insured, or any strike, lockout, labor dispute, embargo, condemnation, act of God or public enemy, or other casualty which causes, for more than thirty (30) consecutive days, the Issuer or any of their respective Subsidiaries, if any such event or circumstance would reasonably be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(xvi)a false or inaccurate certification (including a false or inaccurate deemed certification) by the Company or the Issuer as to whether any Event of Default has occurred;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(xvii)any Material Adverse Effect occurs;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(xviii)other than in connection with the Holding Company Reorganization, any amendment by the Issuer of its Certificate of Incorporation or Bylaws or any amendment by the Company of its Certificate of Formation or Limited Liability Company Agreement or any reorganization, transfer of assets, consolidation, merger, scheme of arrangement, dissolution, issue or sale of securities, or any other voluntary action, by which the Company or the Issuer avoids or seeks to avoid the observance or performance by it of any of the terms of this Note;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(xix)the sale, assignment, transfer, conveyance or other disposition, in one or more related transactions, of all or substantially all of the properties and/or assets of the Company to any Person without the prior written consent of the Lead Investor;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(xx)the Holding Company Reorganization shall not have occurred within thirty (30) days of the Initial Closing;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(xxi)any Event of Default (as defined in the Other Notes) occurs with respect to any Other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Redemption Right</w:t>
      </w:r>
      <w:r>
        <w:rPr>
          <w:rFonts w:ascii="Times New Roman;serif" w:hAnsi="Times New Roman;serif"/>
          <w:b w:val="false"/>
          <w:color w:val="000000"/>
          <w:sz w:val="24"/>
        </w:rPr>
        <w:t>. Upon the occurrence of an Event of Default with respect to this Note or any Other Note, the Company shall within one (1) Business Day deliver written notice thereof via electronic mail and overnight courier (an “</w:t>
      </w:r>
      <w:r>
        <w:rPr>
          <w:rFonts w:ascii="Times New Roman;serif" w:hAnsi="Times New Roman;serif"/>
          <w:b/>
          <w:color w:val="000000"/>
          <w:sz w:val="24"/>
        </w:rPr>
        <w:t>Event of Default Notice</w:t>
      </w:r>
      <w:r>
        <w:rPr>
          <w:color w:val="000000"/>
        </w:rPr>
        <w:t>”</w:t>
      </w:r>
      <w:r>
        <w:rPr>
          <w:rFonts w:ascii="Times New Roman;serif" w:hAnsi="Times New Roman;serif"/>
          <w:b w:val="false"/>
          <w:color w:val="000000"/>
          <w:sz w:val="24"/>
        </w:rPr>
        <w:t>) to the Holder. At any time after the earlier of the Holder’s receipt of an Event of Default Notice and the Holder becoming aware of an Event of Default, the Holder may require the Company to redeem (an “</w:t>
      </w:r>
      <w:r>
        <w:rPr>
          <w:rFonts w:ascii="Times New Roman;serif" w:hAnsi="Times New Roman;serif"/>
          <w:b/>
          <w:color w:val="000000"/>
          <w:sz w:val="24"/>
        </w:rPr>
        <w:t>Event of Default Redemption</w:t>
      </w:r>
      <w:r>
        <w:rPr>
          <w:color w:val="000000"/>
        </w:rPr>
        <w:t>”</w:t>
      </w:r>
      <w:r>
        <w:rPr>
          <w:rFonts w:ascii="Times New Roman;serif" w:hAnsi="Times New Roman;serif"/>
          <w:b w:val="false"/>
          <w:color w:val="000000"/>
          <w:sz w:val="24"/>
        </w:rPr>
        <w:t>) all or any portion of this Note by delivering written notice thereof (the “</w:t>
      </w:r>
      <w:r>
        <w:rPr>
          <w:rFonts w:ascii="Times New Roman;serif" w:hAnsi="Times New Roman;serif"/>
          <w:b/>
          <w:color w:val="000000"/>
          <w:sz w:val="24"/>
        </w:rPr>
        <w:t>Event of Default Redemption Notice</w:t>
      </w:r>
      <w:r>
        <w:rPr>
          <w:color w:val="000000"/>
        </w:rPr>
        <w:t>”</w:t>
      </w:r>
      <w:r>
        <w:rPr>
          <w:rFonts w:ascii="Times New Roman;serif" w:hAnsi="Times New Roman;serif"/>
          <w:b w:val="false"/>
          <w:color w:val="000000"/>
          <w:sz w:val="24"/>
        </w:rPr>
        <w:t>) to the Company, which Event of Default Redemption Notice shall indicate the portion of this Note the Holder is electing to require the Company to redeem. Each portion of this Note subject to redemption by the Company pursuant to this Section 5(b) shall be redeemed by the Company in cash by wire transfer of immediately available funds at a price equal to the greater of (x) 200% of the Outstanding Amount being redeemed and (y) the product of (A) the Outstanding Amount being redeemed and (B) the quotient determined by dividing (I) the greatest Closing Sale Price of the shares of Issuer Common Stock during the period beginning on the date immediately preceding such Event of Default and ending on the date the Holder delivers the Event of Default Redemption Notice, by (II) the lowest Exchange / Conversion Price in effect during such period (the “</w:t>
      </w:r>
      <w:r>
        <w:rPr>
          <w:rFonts w:ascii="Times New Roman;serif" w:hAnsi="Times New Roman;serif"/>
          <w:b/>
          <w:color w:val="000000"/>
          <w:sz w:val="24"/>
        </w:rPr>
        <w:t>Event of Default Redemption Price</w:t>
      </w:r>
      <w:r>
        <w:rPr>
          <w:color w:val="000000"/>
        </w:rPr>
        <w:t>”</w:t>
      </w:r>
      <w:r>
        <w:rPr>
          <w:rFonts w:ascii="Times New Roman;serif" w:hAnsi="Times New Roman;serif"/>
          <w:b w:val="false"/>
          <w:color w:val="000000"/>
          <w:sz w:val="24"/>
        </w:rPr>
        <w:t xml:space="preserve">). Redemptions required by this Section 5(b) shall be made in accordance with the provisions of Section 11. To the extent redemptions required by this Section 5(b) are deemed or determined by a court of competent jurisdiction to be prepayments of the Note by the Company, such redemptions shall be deemed to be voluntary prepayments.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Section 5, but subject to Section 3(e), until the Event of Default Redemption Price is paid in full, the Outstanding Amount submitted for redemption under this Section 5(b) may be exchanged, in whole or in part, by the Holder for Issuer Common Stock pursuant to Section 3 and/or converted, in whole or in part, by the Holder into Company Common Stock pursuant to Section 4.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5(b) is intended by the parties to be, and shall be deemed, a reasonable estimate of the Holder’s actual loss of its investment opportunity and not as a penalty.</w:t>
      </w:r>
    </w:p>
    <w:p>
      <w:pPr>
        <w:pStyle w:val="TextBody"/>
        <w:bidi w:val="0"/>
        <w:spacing w:lineRule="auto" w:line="240" w:before="79"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Mandatory Redemption upon Bankruptcy Event of Default</w:t>
      </w:r>
      <w:r>
        <w:rPr>
          <w:rFonts w:ascii="Times New Roman;serif" w:hAnsi="Times New Roman;serif"/>
          <w:b w:val="false"/>
          <w:color w:val="000000"/>
          <w:sz w:val="24"/>
        </w:rPr>
        <w:t>. Notwithstanding anything to the contrary herein, and notwithstanding any exchange or conversion that is then required or in process, upon any Bankruptcy Event of Default, whether occurring prior to or following the Maturity Date, the Company shall immediately pay to the Holder an amount in cash representing 200% of all outstanding Principal, accrued and unpaid Interest, if any, on such Principal and Interest, in addition to any and all other amounts due hereunder (the “</w:t>
      </w:r>
      <w:r>
        <w:rPr>
          <w:rFonts w:ascii="Times New Roman;serif" w:hAnsi="Times New Roman;serif"/>
          <w:b/>
          <w:color w:val="000000"/>
          <w:sz w:val="24"/>
        </w:rPr>
        <w:t>Bankruptcy Event of Default Redemption Price</w:t>
      </w:r>
      <w:r>
        <w:rPr>
          <w:color w:val="000000"/>
        </w:rPr>
        <w:t>”</w:t>
      </w:r>
      <w:r>
        <w:rPr>
          <w:rFonts w:ascii="Times New Roman;serif" w:hAnsi="Times New Roman;serif"/>
          <w:b w:val="false"/>
          <w:color w:val="000000"/>
          <w:sz w:val="24"/>
        </w:rPr>
        <w:t>), without the requirement for any notice or demand or other action by the Holder or any other Person;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exchange or convert, and any right to payment of the Event of Default Redemption Price or any other Redemption Price, as applicable. Redemptions required by this Section 5(c) shall be made in accordance with the provisions of Section 11.</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R</w:t>
      </w:r>
      <w:r>
        <w:rPr>
          <w:rFonts w:ascii="Times New Roman;serif" w:hAnsi="Times New Roman;serif"/>
          <w:b w:val="false"/>
          <w:color w:val="000000"/>
          <w:sz w:val="24"/>
          <w:u w:val="single"/>
        </w:rPr>
        <w:t>IGHTS UPON FUNDAMENTAL TRANSACTION AND CHANGE OF CONTROL</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Company Fundamental Transaction</w:t>
      </w:r>
      <w:r>
        <w:rPr>
          <w:rFonts w:ascii="Times New Roman;serif" w:hAnsi="Times New Roman;serif"/>
          <w:b w:val="false"/>
          <w:color w:val="000000"/>
          <w:sz w:val="24"/>
        </w:rPr>
        <w:t xml:space="preserve">. No later than (i) thirty (30) days prior to the occurrence or consummation of any Company Fundamental Transaction or (ii) if later, the first Trading Day following the date the Company first becomes aware of the occurrence or potential occurrence of a Company Fundamental Transaction, the Company shall deliver written notice thereof via electronic mail and overnight courier to the Holder. The Company shall not enter into or be party to a Company Fundamental Transaction unless the Successor Entity assumes in writing all of the obligations of the Company under this Note and the other Transaction Documents in accordance with the provisions of this Section 6(a) pursuant to written agreements in form and substance satisfactory to the Required Holders and approved by the Required Holders prior to such Company Fundamental Transaction, including agreements to deliver to the Holder in exchange for the Note a security of the Successor Entity of the Company evidenced by a written instrument substantially similar in form and substance to the Notes, including, without limitation, having a principal amount and interest rate equal to the Principal amount and the Default Rate of the Notes then outstanding held by such holder, having similar exchange rights as the Notes and having similar security and ranking to the Notes, and satisfactory to the Required Holders. Upon the occurrence or consummation of any Company Fundamental Transaction, and it shall be a required condition to the occurrence or consummation of any Company Fundamental Transaction that, the Company and the Successor Entity or Successor Entities of the Company, jointly and severally, shall succeed to, and the Company shall cause any Successor Entity and/or Successor Entities of the Company to jointly and severally succeed to, and be added to the term “Company” under this Note (so that from and after the consummation or occurrence of such Company Fundamental Transaction, each and every provision of this Note referring to the “Company” shall refer instead to each of the Company and the Successor Entity or Successor Entities of the Company, jointly and severally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 the Company), and the Company and the Successor Entity or Successor Entities of the Company, jointly and severally, may exercise every right and power of the Company prior thereto and shall assume all of the obligations of the Company prior thereto under this Note with the same effect as if the Company and such Successor Entity or Successor Entities of the Company, jointly and severally, had been named as the Company in this Note. The provisions of this Section 6(a) shall apply similarly and equally to successive Company Fundamental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Issuer Fundamental Transaction</w:t>
      </w:r>
      <w:r>
        <w:rPr>
          <w:rFonts w:ascii="Times New Roman;serif" w:hAnsi="Times New Roman;serif"/>
          <w:b w:val="false"/>
          <w:color w:val="000000"/>
          <w:sz w:val="24"/>
        </w:rPr>
        <w:t>. No later than (i) thirty (30) days prior to the occurrence or consummation of any Issuer Fundamental Transaction or (ii) if later, the first Trading Day following the date the Issuer first becomes aware of the occurrence or potential occurrence of an Issuer Fundamental Transaction, the Issuer shall deliver written notice thereof via electronic mail and overnight courier to the Holder. The Issuer shall not enter into or be party to an Issuer Fundamental Transaction unless the Successor Entity assumes in writing all of the obligations of the Issuer under this Note and the other Transaction Documents in accordance with the provisions of this Section 6(b) pursuant to written agreements in form and substance satisfactory to the Required Holders and approved by the Required Holders prior to such Issuer Fundamental Transaction, including agreements to deliver to the Holder in exchange for the Note a security of the Successor Entity of the Issuer evidenced by a written instrument substantially similar in form and substance to the Notes, including, without limitation, having a principal amount and interest rate equal to the Principal amount and the Default Rate of the Notes then outstanding held by such holder, having similar exchange rights as the Notes and having similar security and ranking to the Notes, and satisfactory to the Required Holders. If, at any time while this Note is outstanding, an Issuer Fundamental Transaction occurs or is consummated, then, upon any subsequent exchange of this Note, the Holder shall have the right to receive, for each share of Issuer Common Stock that would have been issuable upon such exchange immediately prior to the occurrence of such Fundamental Transaction, at the option of the Holder (without regard to any limitation in Section 3(e) on the exchange of this Note), the number of shares of common stock of the successor or acquiring corporation or of the Company, if it is the surviving corporation, and any additional consideration (the “</w:t>
      </w:r>
      <w:r>
        <w:rPr>
          <w:rFonts w:ascii="Times New Roman;serif" w:hAnsi="Times New Roman;serif"/>
          <w:b/>
          <w:color w:val="000000"/>
          <w:sz w:val="24"/>
        </w:rPr>
        <w:t>Alternate Consideration</w:t>
      </w:r>
      <w:r>
        <w:rPr>
          <w:color w:val="000000"/>
        </w:rPr>
        <w:t>”</w:t>
      </w:r>
      <w:r>
        <w:rPr>
          <w:rFonts w:ascii="Times New Roman;serif" w:hAnsi="Times New Roman;serif"/>
          <w:b w:val="false"/>
          <w:color w:val="000000"/>
          <w:sz w:val="24"/>
        </w:rPr>
        <w:t>) receivable as a result of such Issuer Fundamental Transaction by a holder of the number of shares of Issuer Common Stock for which this Note is exchangeable immediately prior to such Issuer Fundamental Transaction (without regard to any limitation in Section 3(e) on the exchange of this Note)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to the extent that the Holder’s right to receive any such shares of publicly traded common stock (or their equivalent) of the Successor Entity of the Issuer would result in the Holder and its other Attribution Parties exceeding the Maximum Percentage, if applicable, then the Holder shall not be entitled to receive such shares to such extent (and shall not be entitled to beneficial ownership of such shares of publicly traded common stock (or their equivalent) of the Successor Entity of the Issuer as a result of such consideration to such extent) and the portion of such shares shall be held in abeyance for the Holder until such time or times, as its right thereto would not result in the Holder and its other Attribution Parties exceeding the Maximum Percentage, at which time or times the Holder shall be delivered such shares to the extent as if there had been no such limitation). For purposes of any such exchange, the determination of the Exchange / Conversion Price shall be appropriately adjusted to apply to such Alternate Consideration based on the amount of Alternate Consideration issuable in respect of one share of Issuer Common Stock in such Issuer Fundamental Transaction, and the Issuer shall apportion the Exchange / Conversion Price among the Alternate Consideration in a reasonable manner reflecting the relative value of any different components of the Alternate Consideration. If holders of Issuer Common Stock are given any choice as to the securities, cash or property to be received in an Issuer Fundamental Transaction, then the Holder shall be given the same choice as to the Alternate Consideration it receives upon any exchange of this Note following such Issuer Fundamental Transaction. Upon the occurrence or consummation of any Issuer Fundamental Transaction, and it shall be a required condition to the occurrence or consummation of any Issuer Fundamental Transaction that, the Company and the Successor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Entity or Successor Entities of the Issuer, jointly and severally, shall succeed to, and the Issuer shall cause any Successor Entity and/or Successor Entities of the Issuer to jointly and severally succeed to, and be added to the term “Issuer” under this Note (so that from and after the consummation or occurrence of such Issuer Fundamental Transaction, each and every provision of this Note referring to the “Issuer” shall refer instead to each of the Issuer and the Successor Entity or Successor Entities of the Issuer, jointly and severally with the Issuer), and the Issuer and the Successor Entity or Successor Entities of the Issuer, jointly and severally, may exercise every right and power of the Issuer prior thereto and shall assume all of the obligations of the Issuer prior thereto under this Note with the same effect as if the Issuer and such Successor Entity or Successor Entities of the Issuer, jointly and severally, had been named as the Issuer in this Note. The provisions of this Section 6(b) shall apply similarly and equally to successive Issuer Fundamental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Redemption Right</w:t>
      </w:r>
      <w:r>
        <w:rPr>
          <w:rFonts w:ascii="Times New Roman;serif" w:hAnsi="Times New Roman;serif"/>
          <w:b w:val="false"/>
          <w:color w:val="000000"/>
          <w:sz w:val="24"/>
        </w:rPr>
        <w:t>. No sooner than twenty-five (25) days nor later than twenty (20) days prior to the consummation of a Change of Control, but not prior to the public announcement of such Change of Control, the Company shall deliver written notice thereof via electronic mail and overnight courier to the Holder (a “</w:t>
      </w:r>
      <w:r>
        <w:rPr>
          <w:rFonts w:ascii="Times New Roman;serif" w:hAnsi="Times New Roman;serif"/>
          <w:b/>
          <w:color w:val="000000"/>
          <w:sz w:val="24"/>
        </w:rPr>
        <w:t>Change of Control Notice</w:t>
      </w:r>
      <w:r>
        <w:rPr>
          <w:color w:val="000000"/>
        </w:rPr>
        <w:t>”</w:t>
      </w:r>
      <w:r>
        <w:rPr>
          <w:rFonts w:ascii="Times New Roman;serif" w:hAnsi="Times New Roman;serif"/>
          <w:b w:val="false"/>
          <w:color w:val="000000"/>
          <w:sz w:val="24"/>
        </w:rPr>
        <w:t>) setting forth a description of such transaction in reasonable detail and the anticipated Change of Control Redemption Date (as defined in Section 11(a)) if known). At any time during the period beginning on the earlier to occur of (x) any oral or written agreement by the Company, the Issuer or any of their respective Subsidiaries, upon consummation of which the transaction contemplated thereby would reasonably be expected to result in a Change of Control, (y) the Holder becoming aware of a Change of Control and (z) the Holder’s receipt of a Change of Control Notice and ending twenty-five (25) Trading Days after the date of the consummation of such Change of Control, the Holder may require the Company to redeem (a “</w:t>
      </w:r>
      <w:r>
        <w:rPr>
          <w:rFonts w:ascii="Times New Roman;serif" w:hAnsi="Times New Roman;serif"/>
          <w:b/>
          <w:color w:val="000000"/>
          <w:sz w:val="24"/>
        </w:rPr>
        <w:t>Change of Control Redemption</w:t>
      </w:r>
      <w:r>
        <w:rPr>
          <w:color w:val="000000"/>
        </w:rPr>
        <w:t>”</w:t>
      </w:r>
      <w:r>
        <w:rPr>
          <w:rFonts w:ascii="Times New Roman;serif" w:hAnsi="Times New Roman;serif"/>
          <w:b w:val="false"/>
          <w:color w:val="000000"/>
          <w:sz w:val="24"/>
        </w:rPr>
        <w:t>) all or any portion of this Note by delivering written notice thereof (“</w:t>
      </w:r>
      <w:r>
        <w:rPr>
          <w:rFonts w:ascii="Times New Roman;serif" w:hAnsi="Times New Roman;serif"/>
          <w:b/>
          <w:color w:val="000000"/>
          <w:sz w:val="24"/>
        </w:rPr>
        <w:t>Change of Control Redemption Notice</w:t>
      </w:r>
      <w:r>
        <w:rPr>
          <w:color w:val="000000"/>
        </w:rPr>
        <w:t>”</w:t>
      </w:r>
      <w:r>
        <w:rPr>
          <w:rFonts w:ascii="Times New Roman;serif" w:hAnsi="Times New Roman;serif"/>
          <w:b w:val="false"/>
          <w:color w:val="000000"/>
          <w:sz w:val="24"/>
        </w:rPr>
        <w:t>) to the Company, which Change of Control Redemption Notice shall indicate the Outstanding Amount the Holder is electing to require the Company to redeem. The portion of this Note subject to redemption pursuant to this Section 6(c) shall be redeemed by the Company in cash by wire transfer of immediately available funds at a price equal to the greater of (x) 200% of the Outstanding Amount being redeemed and (y) the product of (A) the Outstanding Amount being redeemed and (B) the quotient determined by dividing (I) the greatest Closing Sale Price of the shares of Issuer Common Stock during the period beginning on the date immediately preceding the earlier to occur of (x) the consummation of the Change of Control and (y) the public announcement of such Change of Control and ending on the date the Holder delivers the Change of Control Redemption Notice, by (II) the lowest Exchange / Conversion Price in effect during such period (the “</w:t>
      </w:r>
      <w:r>
        <w:rPr>
          <w:rFonts w:ascii="Times New Roman;serif" w:hAnsi="Times New Roman;serif"/>
          <w:b/>
          <w:color w:val="000000"/>
          <w:sz w:val="24"/>
        </w:rPr>
        <w:t>Change of Control Redemption Price</w:t>
      </w:r>
      <w:r>
        <w:rPr>
          <w:color w:val="000000"/>
        </w:rPr>
        <w:t>”</w:t>
      </w:r>
      <w:r>
        <w:rPr>
          <w:rFonts w:ascii="Times New Roman;serif" w:hAnsi="Times New Roman;serif"/>
          <w:b w:val="false"/>
          <w:color w:val="000000"/>
          <w:sz w:val="24"/>
        </w:rPr>
        <w:t>). Redemptions required by this Section 6 shall be made in accordance with the provisions of Section 11 and shall have priority to payments to stockholders in connection with a Change of Control. To the extent redemptions required by this Section 6(c) are deemed or determined by a court of competent jurisdiction to be prepayments of the Note by the Company, such redemptions shall be deemed to be voluntary prepayments. Notwithstanding anything to the contrary in this Section 6, but subject to Section 3(e), until the Change of Control Redemption Price is paid in full, the Outstanding Amount submitted for redemption under this Section 6(c) may be exchanged, in whole or in part, by the Holder for Issuer Common Stock pursuant to Section 3 and/or converted, in whole or in part, by the Holder into Company Common Stock pursuant to Section 4. The parties hereto agree that in the event of the Company’s redemption of any portion of the Note under this Section 6(c),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6(c) is intended by the parties to be, and shall be deemed, a reasonable estimate of the Holder’s actual loss of its investment opportunity and not as a penalty.</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RIGHTS UPON DISTRIBUTIONS AND UPON ISSUANCE OF PURCHASE RIGHTS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on or after the Subscription Date the Issuer shall declare or make any dividend or other distribution of its assets (or rights to acquire its assets) to holders of shares of Issuer Common Stock, by way of return of capital or otherwise (including, without limitation, any distribution of cash, stock or other securities, property, Options, Convertible Securities, evidence of Indebtedness or any other assets by way of a dividend, spin off, reclassification, corporate rearrangement, scheme of arrangement or other similar transaction) (a “</w:t>
      </w:r>
      <w:r>
        <w:rPr>
          <w:rFonts w:ascii="Times New Roman;serif" w:hAnsi="Times New Roman;serif"/>
          <w:b/>
          <w:color w:val="000000"/>
          <w:sz w:val="24"/>
        </w:rPr>
        <w:t>Distribution</w:t>
      </w:r>
      <w:r>
        <w:rPr>
          <w:color w:val="000000"/>
        </w:rPr>
        <w:t>”</w:t>
      </w:r>
      <w:r>
        <w:rPr>
          <w:rFonts w:ascii="Times New Roman;serif" w:hAnsi="Times New Roman;serif"/>
          <w:b w:val="false"/>
          <w:color w:val="000000"/>
          <w:sz w:val="24"/>
        </w:rPr>
        <w:t>), at any time after the Subscription Date, then, in each such case, then the Holder will be entitled to such Distribution as if the Holder had held the number of shares of Issuer Common Stock acquirable upon complete conversion of this Note (without taking into account any limitations or restrictions on the exchangeability of this Note, and regardless of whether such Distribution is at a time this Note is then exchangeable) immediately prior to the date on which a record is taken for such Distribution or, if no such record is taken, the date as of which the record holders of Issuer Common Stock are to be determined for the participation in such Distributions payable on the date of such Distribution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Issuer Common Stock as a result of such Distribution (and beneficial ownership) to such extent) and the portion of such Distribution shall be held in abeyance for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to be held similarly in abeyance) to the same extent as if there had been no such limitation).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at any time on or after the Subscription Date the Issuer grants, issues or sells any Options, Convertible Securities or rights to purchase stock, warrants, securities or other property pro rata to the record holders of any class of Issuer Common Stock (the “</w:t>
      </w:r>
      <w:r>
        <w:rPr>
          <w:rFonts w:ascii="Times New Roman;serif" w:hAnsi="Times New Roman;serif"/>
          <w:b/>
          <w:color w:val="000000"/>
          <w:sz w:val="24"/>
        </w:rPr>
        <w:t>Purchase Rights</w:t>
      </w:r>
      <w:r>
        <w:rPr>
          <w:color w:val="000000"/>
        </w:rPr>
        <w:t>”</w:t>
      </w:r>
      <w:r>
        <w:rPr>
          <w:rFonts w:ascii="Times New Roman;serif" w:hAnsi="Times New Roman;serif"/>
          <w:b w:val="false"/>
          <w:color w:val="000000"/>
          <w:sz w:val="24"/>
        </w:rPr>
        <w:t>), then the Holder will be entitled to acquire, upon the terms applicable to such Purchase Rights, the aggregate Purchase Rights which the Holder could have acquired if the Holder had held the number of shares of Issuer Common Stock acquirable upon complete exchange of this Note (without taking into account any limitations or restrictions on the exchangeability of this Note, and regardless of whether such Distribution is at a time this Note is then exchangeable) immediately prior to the date on which a record is taken for the grant, issuance or sale of such Purchase Rights, or, if no such record is taken, the date as of which the record holders of shares of Issuer Common Stock are to be determined for the grant, issue or sale of such Purchase Rights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Issuer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ADJUSTMENTS TO EXCHANGE / CONVERSION PRICE</w:t>
      </w:r>
      <w:r>
        <w:rPr>
          <w:rFonts w:ascii="Times New Roman;serif" w:hAnsi="Times New Roman;serif"/>
          <w:b w:val="false"/>
          <w:color w:val="000000"/>
          <w:sz w:val="24"/>
        </w:rPr>
        <w:t>. The Exchange / Conversion Price will be subject to adjustment from time to time as provided in this Section 8.</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Adjustment of Exchange / Conversion Price upon Issuance of Issuer</w:t>
      </w:r>
      <w:r>
        <w:rPr>
          <w:color w:val="000000"/>
        </w:rPr>
        <w:t xml:space="preserve"> </w:t>
      </w:r>
      <w:r>
        <w:rPr>
          <w:rFonts w:ascii="Times New Roman;serif" w:hAnsi="Times New Roman;serif"/>
          <w:b w:val="false"/>
          <w:color w:val="000000"/>
          <w:sz w:val="24"/>
          <w:u w:val="single"/>
        </w:rPr>
        <w:t>Common Stock</w:t>
      </w:r>
      <w:r>
        <w:rPr>
          <w:rFonts w:ascii="Times New Roman;serif" w:hAnsi="Times New Roman;serif"/>
          <w:b w:val="false"/>
          <w:color w:val="000000"/>
          <w:sz w:val="24"/>
        </w:rPr>
        <w:t>. If and whenever on or after the Subscription Date, the Issuer (or the Company) publicly announces or the Issuer issues or sells, enters into a definitive, binding agreement pursuant to which the Issuer is required to issue or sell, or, in accordance with clauses (i) or (ii) of this Section 8(a), is deemed to have issued or sold, any shares of Issuer Common Stock (including the issuance or sale of shares of Issuer Common Stock owned or held by or for the account of the Issuer, but excluding shares of Issuer Common Stock deemed to have been issued or sold by the Issuer in connection with clauses (i), (ii) and (iv) of the definition of Excluded Securities) for a consideration per share (the “</w:t>
      </w:r>
      <w:r>
        <w:rPr>
          <w:rFonts w:ascii="Times New Roman;serif" w:hAnsi="Times New Roman;serif"/>
          <w:b/>
          <w:color w:val="000000"/>
          <w:sz w:val="24"/>
        </w:rPr>
        <w:t>New Issuance Price</w:t>
      </w:r>
      <w:r>
        <w:rPr>
          <w:color w:val="000000"/>
        </w:rPr>
        <w:t>”</w:t>
      </w:r>
      <w:r>
        <w:rPr>
          <w:rFonts w:ascii="Times New Roman;serif" w:hAnsi="Times New Roman;serif"/>
          <w:b w:val="false"/>
          <w:color w:val="000000"/>
          <w:sz w:val="24"/>
        </w:rPr>
        <w:t>) less than a price (the “</w:t>
      </w:r>
      <w:r>
        <w:rPr>
          <w:rFonts w:ascii="Times New Roman;serif" w:hAnsi="Times New Roman;serif"/>
          <w:b/>
          <w:color w:val="000000"/>
          <w:sz w:val="24"/>
        </w:rPr>
        <w:t>Applicable Price</w:t>
      </w:r>
      <w:r>
        <w:rPr>
          <w:color w:val="000000"/>
        </w:rPr>
        <w:t>”</w:t>
      </w:r>
      <w:r>
        <w:rPr>
          <w:rFonts w:ascii="Times New Roman;serif" w:hAnsi="Times New Roman;serif"/>
          <w:b w:val="false"/>
          <w:color w:val="000000"/>
          <w:sz w:val="24"/>
        </w:rPr>
        <w:t>) equal to the Exchange / Conversion Price in effect immediately prior to such public announcement, issue or sale or deemed issuance or sale or entry into such a definitive binding agreement (the foregoing a “</w:t>
      </w:r>
      <w:r>
        <w:rPr>
          <w:rFonts w:ascii="Times New Roman;serif" w:hAnsi="Times New Roman;serif"/>
          <w:b/>
          <w:color w:val="000000"/>
          <w:sz w:val="24"/>
        </w:rPr>
        <w:t>Dilutive Issuance</w:t>
      </w:r>
      <w:r>
        <w:rPr>
          <w:color w:val="000000"/>
        </w:rPr>
        <w:t>”</w:t>
      </w:r>
      <w:r>
        <w:rPr>
          <w:rFonts w:ascii="Times New Roman;serif" w:hAnsi="Times New Roman;serif"/>
          <w:b w:val="false"/>
          <w:color w:val="000000"/>
          <w:sz w:val="24"/>
        </w:rPr>
        <w:t>), then immediately after such Dilutive Issuance the Exchange / Conversion Price then in effect shall be reduced to an amount equal to the New Issuance Price. For purposes of determining the adjusted Exchange / Conversion Price under this Section 8(a), the following shall be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Issuance of Options</w:t>
      </w:r>
      <w:r>
        <w:rPr>
          <w:color w:val="000000"/>
        </w:rPr>
        <w:t xml:space="preserve"> </w:t>
      </w:r>
      <w:r>
        <w:rPr>
          <w:rFonts w:ascii="Times New Roman;serif" w:hAnsi="Times New Roman;serif"/>
          <w:b w:val="false"/>
          <w:color w:val="000000"/>
          <w:sz w:val="24"/>
        </w:rPr>
        <w:t>If the Issuer in any manner grants or sells or enters into a definitive, binding agreement pursuant to which it is required to grant or sell, or the issuer (or the Company) publicly announces the issuance or sale of, any Options and the lowest price per share for which one share of Issuer Common Stock is issuable upon the exercise of any such Option or upon conversion or exchange or exercise of any Convertible Securities issuable upon exercise of any such Option is less than the Applicable Price, then such share of Issuer Common Stock shall be deemed to be outstanding and to have been issued and sold by the Issuer at the time of the granting or sale of such Option for such price per share. For purposes of this Section 8(a)(i), the “lowest price per share for which one share of Issuer Common Stock is issuable upon the exercise of any such Options or upon conversion or exchange or exercise of any Convertible Securities issuable upon exercise of such Option” shall be equal to the sum of the lowest amounts of consideration (if any) received or receivable by the Issuer with respect to any one share of Issuer Common Stock upon granting or sale of the Option, upon exercise of the Option and upon conversion or exchange or exercise of any Convertible Security issuable upon exercise of such Option less any consideration paid or payable by the Issuer with respect to such one share of Issuer Common Stock upon the granting or sale of such Option, upon exercise of such Option and upon conversion, exercise or exchange of any Convertible Security issuable upon exercise of such Option. No further adjustment of the Exchange / Conversion Price shall be made upon the actual issuance of such shares of Issuer Common Stock or of such Convertible Securities upon the exercise of such Options or upon the actual issuance of such shares of Issuer Common Stock upon conversion or exchange or exercise of such Convertible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Issuance of Convertible Securities</w:t>
      </w:r>
      <w:r>
        <w:rPr>
          <w:rFonts w:ascii="Times New Roman;serif" w:hAnsi="Times New Roman;serif"/>
          <w:b w:val="false"/>
          <w:color w:val="000000"/>
          <w:sz w:val="24"/>
        </w:rPr>
        <w:t xml:space="preserve">. If the Issuer in any manner issues or sells, or enters into a definitive, binding agreement pursuant to which it is required to grant or sell or the Issuer (or the Company) publicly announces the issuance or sale of, any Convertible Securities and the lowest price per share for which one share of Issuer Common Stock is issuable upon the conversion or exchange or exercise thereof is less than the Applicable Price, then such share of Issuer Common Stock shall be deemed to be outstanding and to have been issued and sold by the Issuer at the time of the issuance or sale of such Convertible Securities for such price per share. For the purposes of this Section 8(a)(ii), the “lowest price per share for which one share of Issuer Common Stock is issuable upon the conversion or exchange or exercise thereof” shall be equal to the sum of the lowest amounts of consideration (if any) received or receivable by the Issuer with respect to any one share of Issuer Common Stock upon the issuance or sale of the Convertible Security and upon the conversion or exchange or exercise of such Convertible Security less any consideration paid or payable by the Issuer with respect to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one share of Issuer Common Stock upon the issuance or sale of the Convertible Security and upon the conversion or exchange or exercise of such Convertible Security. No further adjustment of the Exchange / Conversion Price shall be made upon the actual issuance of such shares of Issuer Common Stock upon conversion or exchange or exercise of such Convertible Securities, and if any such issue or sale of such Convertible Securities is made upon exercise of any Options for which adjustment of the Exchange / Conversion Price has been or is to be made pursuant to other provisions of this Section 8(a), no further adjustment of the Exchange / Conversion Price shall be made by reason of such issue or sale.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Change in Option Price or Rate of Conversion</w:t>
      </w:r>
      <w:r>
        <w:rPr>
          <w:rFonts w:ascii="Times New Roman;serif" w:hAnsi="Times New Roman;serif"/>
          <w:b w:val="false"/>
          <w:color w:val="000000"/>
          <w:sz w:val="24"/>
        </w:rPr>
        <w:t>. If the purchase price provided for in any Options, the additional consideration, if any, payable upon the issue, conversion, exchange or exercise of any Convertible Securities, or the rate at which any Convertible Securities are convertible into or exchangeable or exercisable for shares of Issuer Common Stock increases or decreases at any time, the Exchange / Conversion Price in effect at the time of such increase or decrease shall be adjusted to the Exchange /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8(a)(iii), if the terms of any Option or Convertible Security that was outstanding as of the Subscription Date are increased or decreased in the manner described in the immediately preceding sentence, then such Option or Convertible Security and the shares of Issuer Common Stock deemed issuable upon exercise, conversion or exchange thereof shall be deemed to have been issued as of the date of such increase or decrease. No adjustment pursuant to this Section 8(a) shall be made if such adjustment would result in an increase of the Exchange / Conversion Price then in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Calculation of Consideration Received</w:t>
      </w:r>
      <w:r>
        <w:rPr>
          <w:rFonts w:ascii="Times New Roman;serif" w:hAnsi="Times New Roman;serif"/>
          <w:b w:val="false"/>
          <w:color w:val="000000"/>
          <w:sz w:val="24"/>
        </w:rPr>
        <w:t>. In case any Option is issued in connection with the issue or sale of other securities of the Issuer, together comprising one integrated transaction, (x) the Options will be deemed to have been issued for the Option Value of such Options and (y) the other securities issued or sold in such integrated transaction shall be deemed to have been issued or sold for the difference of (I) the aggregate consideration received by the Issuer less any consideration paid or payable by the Issuer pursuant to the terms of such other securities of the Issuer, less (II) the Option Value of such Options. If any shares of Issuer Common Stock, Options or Convertible Securities are issued or sold or deemed to have been issued or sold for cash, the consideration other than cash received therefor will be deemed to be the net amount received by the Issuer therefor. If any shares of Issuer Common Stock, Options or Convertible Securities are issued or sold for a consideration other than cash, the amount of such consideration received by the Issuer will be the fair value of such consideration, except where such consideration consists of publicly traded securities, in which case the amount of consideration received by the Issuer will be the Closing Sale Price of such publicly traded securities on the date of receipt of such publicly traded securities. If any shares of Issuer Common Stock, Options or Convertible Securities are issued to the owners of the non-surviving entity in connection with any merger in which the Issuer is the surviving entity, the amount of consideration therefor will be deemed to be the fair value of such portion of the net assets and business of the non-surviving entity as is attributable to such shares of Issuer Common Stock, Options or Convertible Securities, as the case may be. The fair value of any consideration other than cash or publicly traded securities will be determined jointly by the Issuer and the Required Holders. If such parties are unable to reach agreement within ten (10) Business Days after the occurrence of an event requiring valuation (the “</w:t>
      </w:r>
      <w:r>
        <w:rPr>
          <w:rFonts w:ascii="Times New Roman;serif" w:hAnsi="Times New Roman;serif"/>
          <w:b/>
          <w:color w:val="000000"/>
          <w:sz w:val="24"/>
        </w:rPr>
        <w:t>Valuation Event</w:t>
      </w:r>
      <w:r>
        <w:rPr>
          <w:color w:val="000000"/>
        </w:rPr>
        <w:t>”</w:t>
      </w:r>
      <w:r>
        <w:rPr>
          <w:rFonts w:ascii="Times New Roman;serif" w:hAnsi="Times New Roman;serif"/>
          <w:b w:val="false"/>
          <w:color w:val="000000"/>
          <w:sz w:val="24"/>
        </w:rPr>
        <w:t>), the fair value of such consideration will be determined within five (5) Business Days after the tenth (10</w:t>
      </w:r>
      <w:r>
        <w:rPr>
          <w:rFonts w:ascii="Times New Roman;serif" w:hAnsi="Times New Roman;serif"/>
          <w:b w:val="false"/>
          <w:color w:val="000000"/>
          <w:sz w:val="16"/>
        </w:rPr>
        <w:t>th</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Business Day following the Valuation Event by an independent, reputable appraiser jointly selected by the Issuer and the Required Holders. The determination of such appraiser shall be final and binding upon all parties absent manifest error and the fees and expenses of such appraiser shall be borne by the Issuer or the Company. Notwithstanding anything to the contrary contained herein, if any calculation pursuant to this Section 8(a)(iv) would result in a dollar value that is lower than the par value of the Issuer Common Stock, then such dollar value shall be deemed to equal the par value of the Issuer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Record Date</w:t>
      </w:r>
      <w:r>
        <w:rPr>
          <w:rFonts w:ascii="Times New Roman;serif" w:hAnsi="Times New Roman;serif"/>
          <w:b w:val="false"/>
          <w:color w:val="000000"/>
          <w:sz w:val="24"/>
        </w:rPr>
        <w:t>. If the Issuer takes a record of the holders of shares of Issuer Common Stock for the purpose of entitling them (A) to receive a dividend or other distribution payable in shares of Issuer Common Stock, Options or in Convertible Securities or (B) to subscribe for or purchase shares of Issuer Common Stock, Options or Convertible Securities, then such record date will be deemed to be the date of the issue or sale of the shares of Issuer Common Stock deemed to have been issued or sold upon the declaration of such dividend or the making of such other distribution or the date of the granting of such right of subscription or purchase,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No Readjustments</w:t>
      </w:r>
      <w:r>
        <w:rPr>
          <w:rFonts w:ascii="Times New Roman;serif" w:hAnsi="Times New Roman;serif"/>
          <w:b w:val="false"/>
          <w:color w:val="000000"/>
          <w:sz w:val="24"/>
        </w:rPr>
        <w:t>. For the avoidance of doubt, in the event the Exchange / Conversion Price has been adjusted pursuant to this Section 8(a) and the Dilutive Issuance that triggered such adjustment does not occur, is not consummated, is unwound or is cancelled after the facts for any reason whatsoever, in no event shall the Exchange / Conversion Price be readjusted to the Exchange / Conversion Price that would have been in effect if such Dilutive Issuance had not occurred or been consummated.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Adjustment of Exchange / Conversion Price upon Subdivision or</w:t>
      </w:r>
      <w:r>
        <w:rPr>
          <w:color w:val="000000"/>
        </w:rPr>
        <w:t xml:space="preserve"> </w:t>
      </w:r>
      <w:r>
        <w:rPr>
          <w:rFonts w:ascii="Times New Roman;serif" w:hAnsi="Times New Roman;serif"/>
          <w:b w:val="false"/>
          <w:color w:val="000000"/>
          <w:sz w:val="24"/>
          <w:u w:val="single"/>
        </w:rPr>
        <w:t>Combination of Issuer Common Stock</w:t>
      </w:r>
      <w:r>
        <w:rPr>
          <w:rFonts w:ascii="Times New Roman;serif" w:hAnsi="Times New Roman;serif"/>
          <w:b w:val="false"/>
          <w:color w:val="000000"/>
          <w:sz w:val="24"/>
        </w:rPr>
        <w:t>. If the Issuer at any time on or after the Subscription Date subdivides (by any stock split, stock dividend, recapitalization or otherwise) one or more classes of its outstanding shares of Issuer Common Stock into a greater number of shares, the Exchange / Conversion Price in effect immediately prior to such subdivision will be proportionately reduced. If the Issuer at any time on or after the Subscription Date combines (by combination, reverse stock split or otherwise) one or more classes of its outstanding shares of Issuer Common Stock into a smaller number of shares, the Exchange / Conversion Price in effect immediately prior to such combination will be proportionately increased. Any adjustment under this Section 8(b) shall become effective at the close of business on the date the subdivision or combination becomes effective.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Voluntary Adjustment by Issuer</w:t>
      </w:r>
      <w:r>
        <w:rPr>
          <w:rFonts w:ascii="Times New Roman;serif" w:hAnsi="Times New Roman;serif"/>
          <w:b w:val="false"/>
          <w:color w:val="000000"/>
          <w:sz w:val="24"/>
        </w:rPr>
        <w:t>. The Issuer may at any time during the term of this Note, with the prior written consent of the Required Holders, reduce the then current Exchange / Conversion Price to any amount and for any period of time deemed appropriate by the Board of Directors of the Issuer.</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NONCIRCUMVENTION</w:t>
      </w:r>
      <w:r>
        <w:rPr>
          <w:rFonts w:ascii="Times New Roman;serif" w:hAnsi="Times New Roman;serif"/>
          <w:b w:val="false"/>
          <w:color w:val="000000"/>
          <w:sz w:val="24"/>
        </w:rPr>
        <w:t xml:space="preserve">. Each of the Company and the Issuer hereby covenants and agrees that it will not, by amendment of its organizational documents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Issuer (a) shall not increase the par value of any shares of Issuer Common Stock receivable upon conversion of this Note above the Exchange / Conversion Price then in effect, and (b) shall take all such actions as may be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necessary or appropriate in order that the Issuer may validly and legally issue fully paid and nonassessable shares of Issuer Common Stock upon the conversion of this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RESERVATION OF AUTHORIZED SHARES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Reservation</w:t>
      </w:r>
      <w:r>
        <w:rPr>
          <w:rFonts w:ascii="Times New Roman;serif" w:hAnsi="Times New Roman;serif"/>
          <w:b w:val="false"/>
          <w:color w:val="000000"/>
          <w:sz w:val="24"/>
        </w:rPr>
        <w:t>. From and after the Issuance Date, the Issuer shall reserve a number of authorized and otherwise unreserved shares of Issuer Common Stock to satisfy its obligation to issue shares of Issuer Common Stock upon exchange of this Note and the Other Notes equal to at least the number of shares of Issuer Common Stock issuable pursuant to the terms of the Notes equal to not less than 150% of the number of shares of Issuer Common Stock that the Holder and the holders of the Other Notes would be entitled to receive upon an exchange of the full Outstanding Amount of this Note and the Other Notes (without regard to any limitations on exchange set forth in Section 3(e) and analogous provisions set forth in the Other Notes) (the “</w:t>
      </w:r>
      <w:r>
        <w:rPr>
          <w:rFonts w:ascii="Times New Roman;serif" w:hAnsi="Times New Roman;serif"/>
          <w:b/>
          <w:color w:val="000000"/>
          <w:sz w:val="24"/>
        </w:rPr>
        <w:t>Required Reserve Amount</w:t>
      </w:r>
      <w:r>
        <w:rPr>
          <w:color w:val="000000"/>
        </w:rPr>
        <w:t>”</w:t>
      </w:r>
      <w:r>
        <w:rPr>
          <w:rFonts w:ascii="Times New Roman;serif" w:hAnsi="Times New Roman;serif"/>
          <w:b w:val="false"/>
          <w:color w:val="000000"/>
          <w:sz w:val="24"/>
        </w:rPr>
        <w:t xml:space="preserve">). So long as any of this Note and the Other Notes are outstanding, the Issuer shall take all action necessary to reserve and keep available out of the Issuer’s authorized and unissued Issuer Common Stock, solely for the purpose of effecting the exchange of this Note and the Other Notes, the Required Reserve Amount necessary to effect the exchange of all of the Notes then outstanding;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at no time shall the number of shares of Issuer Common Stock so reserved be less than the Required Reserve Amount. The initial number of shares of Issuer Common Stock reserved for exchanges of this Note and the Other Notes and each increase in the number of shares so reserved shall be allocated pro rata among the Holder and the holders of the Other Notes based on the Principal amount of this Note and the Other Notes held by each Buyer (the “</w:t>
      </w:r>
      <w:r>
        <w:rPr>
          <w:rFonts w:ascii="Times New Roman;serif" w:hAnsi="Times New Roman;serif"/>
          <w:b/>
          <w:color w:val="000000"/>
          <w:sz w:val="24"/>
        </w:rPr>
        <w:t>Authorized Share Allocation</w:t>
      </w:r>
      <w:r>
        <w:rPr>
          <w:color w:val="000000"/>
        </w:rPr>
        <w:t>”</w:t>
      </w:r>
      <w:r>
        <w:rPr>
          <w:rFonts w:ascii="Times New Roman;serif" w:hAnsi="Times New Roman;serif"/>
          <w:b w:val="false"/>
          <w:color w:val="000000"/>
          <w:sz w:val="24"/>
        </w:rPr>
        <w:t>). In the event that a holder shall sell or otherwise transfer this Note or any of such holder’s Other Notes, each transferee shall be allocated a pro rata portion of such holder’s Authorized Share Allocation with respect to the portion of the Notes being transferred. Any shares of Issuer Common Stock reserved and allocated to any Person which ceases to hold any Notes shall be allocated to the Holder, the remaining holders of Other Notes, pro rata based on the Principal amount of this Note and the Other Notes then held by such holders without regard to any limitations on exchanges set forth herein or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Insufficient Authorized Shares</w:t>
      </w:r>
      <w:r>
        <w:rPr>
          <w:rFonts w:ascii="Times New Roman;serif" w:hAnsi="Times New Roman;serif"/>
          <w:b w:val="false"/>
          <w:color w:val="000000"/>
          <w:sz w:val="24"/>
        </w:rPr>
        <w:t>. If at any time while any of the Notes remain outstanding the Issuer does not have a sufficient number of authorized and unreserved shares of Issuer Common Stock to satisfy its obligation to reserve for issuance upon exchange of the Notes at least a number of shares of Issuer Common Stock equal to the applicable Required Reserve Amount (an “</w:t>
      </w:r>
      <w:r>
        <w:rPr>
          <w:rFonts w:ascii="Times New Roman;serif" w:hAnsi="Times New Roman;serif"/>
          <w:b/>
          <w:color w:val="000000"/>
          <w:sz w:val="24"/>
        </w:rPr>
        <w:t>Authorized Share Failure</w:t>
      </w:r>
      <w:r>
        <w:rPr>
          <w:color w:val="000000"/>
        </w:rPr>
        <w:t>”</w:t>
      </w:r>
      <w:r>
        <w:rPr>
          <w:rFonts w:ascii="Times New Roman;serif" w:hAnsi="Times New Roman;serif"/>
          <w:b w:val="false"/>
          <w:color w:val="000000"/>
          <w:sz w:val="24"/>
        </w:rPr>
        <w:t xml:space="preserve">), then the Issuer shall immediately take all action necessary to increase the Issuer’s authorized shares of Issuer Common Stock to an amount sufficient to allow the Issuer to reserve the applicable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Issuer shall hold a meeting of its stockholders for the approval of an increase in the number of authorized shares of Issuer Common Stock. In connection with such meeting, the Issuer shall provide each stockholder with a proxy statement and shall use its best efforts to solicit its stockholders’ approval of such increase in authorized shares of Issuer Common Stock and to cause its Board of Directors to recommend to the stockholders that they approve such proposal. Notwithstanding the foregoing, if during any such time of an Authorized Share Failure, the Issuer is able to obtain the written consent of a majority of the shares of its issued and outstanding Issuer Common Stock to approve the increase in the number of authorized shares of Issuer Common Stock, the Issuer may satisfy this obligation by obtaining such consent and submitting for filing with the SEC an Information Statement on Schedule 14C. If, upon any exchange of this Note, the Issuer does not have sufficient authorized shares to deliver in satisfaction of such exchange, then unless the Holder elects to rescind such attempted exchange, the Holder may require the Issuer to pay to the Holder within two (2) Trading Days of the applicable attempted exchange, cash in an amount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equal to the product of (i) the number of shares of Issuer Common Stock that the Issuer is unable to deliver pursuant to this Section 10, and the greater of (x) the Closing Sale Price of the Issuer Common Stock and (y) the arithmetic average of the Closing Sale Prices of the Issuer Common Stock during the five (5) Trading Days, in each case, immediately preceding the applicable attempted exchange (or if any such date is not a Trading Day, the last Trading Day prior to such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REDEMPTIONS.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Mechanics</w:t>
      </w:r>
      <w:r>
        <w:rPr>
          <w:rFonts w:ascii="Times New Roman;serif" w:hAnsi="Times New Roman;serif"/>
          <w:b w:val="false"/>
          <w:color w:val="000000"/>
          <w:sz w:val="24"/>
        </w:rPr>
        <w:t>. The Company shall deliver the applicable Event of Default Redemption Price to the Holder within two (2) Business Days after the Company’s receipt of the Holder’s Event of Default Redemption Notice; provided that upon a Bankruptcy Event of Default, the Company shall deliver the applicable Bankruptcy Event of Default Redemption Price in accordance with Section 5(c) (as applicable, the “</w:t>
      </w:r>
      <w:r>
        <w:rPr>
          <w:rFonts w:ascii="Times New Roman;serif" w:hAnsi="Times New Roman;serif"/>
          <w:b/>
          <w:color w:val="000000"/>
          <w:sz w:val="24"/>
        </w:rPr>
        <w:t>Event of Default Redemption Date</w:t>
      </w:r>
      <w:r>
        <w:rPr>
          <w:color w:val="000000"/>
        </w:rPr>
        <w:t>”</w:t>
      </w:r>
      <w:r>
        <w:rPr>
          <w:rFonts w:ascii="Times New Roman;serif" w:hAnsi="Times New Roman;serif"/>
          <w:b w:val="false"/>
          <w:color w:val="000000"/>
          <w:sz w:val="24"/>
        </w:rPr>
        <w:t>). If the Holder has submitted a Change of Control Redemption Notice in accordance with Section 6(c), the Company shall deliver the applicable Change of Control Redemption Price to the Holder (i) concurrently with the consummation of such Change of Control if such notice is received prior to the consummation of such Change of Control and (ii) within two (2) Business Days after the Company’s receipt of such notice otherwise (such date, the “</w:t>
      </w:r>
      <w:r>
        <w:rPr>
          <w:rFonts w:ascii="Times New Roman;serif" w:hAnsi="Times New Roman;serif"/>
          <w:b/>
          <w:color w:val="000000"/>
          <w:sz w:val="24"/>
        </w:rPr>
        <w:t>Change of Control Redemption Date</w:t>
      </w:r>
      <w:r>
        <w:rPr>
          <w:color w:val="000000"/>
        </w:rPr>
        <w:t>”</w:t>
      </w:r>
      <w:r>
        <w:rPr>
          <w:rFonts w:ascii="Times New Roman;serif" w:hAnsi="Times New Roman;serif"/>
          <w:b w:val="false"/>
          <w:color w:val="000000"/>
          <w:sz w:val="24"/>
        </w:rPr>
        <w:t>). The Company shall pay the applicable Redemption Price to the Holder in cash by wire transfer of immediately available funds pursuant to wire instructions provided by the holder in writing to the Company on the applicable due date. In the event of a redemption of less than all of the Outstanding Amount of this Note, the Company shall promptly cause to be issued and delivered to the Holder a new Note (in accordance with Section 19(d)) representing the outstanding Principal which has not been redeemed and any accrued Interest on such Principal which shall be calculated as if no Redemption Notice has been delivered. In the event that the Company does not pay a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Outstanding Amount that was submitted for redemption and for which the applicable Redemption Price has not been paid. Upon the Company’s receipt of such notice, (x) the applicable Redemption Notice shall be null and void with respect to such Outstanding Amount and (y) the Company shall immediately return this Note, or issue a new Note (in accordance with Section 19(d)) to the Holder representing such Outstanding Amount to be redeemed.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Redemption by Other Holders</w:t>
      </w:r>
      <w:r>
        <w:rPr>
          <w:rFonts w:ascii="Times New Roman;serif" w:hAnsi="Times New Roman;serif"/>
          <w:b w:val="false"/>
          <w:color w:val="000000"/>
          <w:sz w:val="24"/>
        </w:rPr>
        <w:t>. Upon the Company’s receipt of notice from any of the holders of the Other Notes for redemption or repayment as a result of an event or occurrence substantially similar to the events or occurrences described in Section 5(b) or Section 6(c) or pursuant to corresponding provisions set forth in the Other Notes (each, an “</w:t>
      </w:r>
      <w:r>
        <w:rPr>
          <w:rFonts w:ascii="Times New Roman;serif" w:hAnsi="Times New Roman;serif"/>
          <w:b/>
          <w:color w:val="000000"/>
          <w:sz w:val="24"/>
        </w:rPr>
        <w:t>Other Redemption Notice</w:t>
      </w:r>
      <w:r>
        <w:rPr>
          <w:color w:val="000000"/>
        </w:rPr>
        <w:t>”</w:t>
      </w:r>
      <w:r>
        <w:rPr>
          <w:rFonts w:ascii="Times New Roman;serif" w:hAnsi="Times New Roman;serif"/>
          <w:b w:val="false"/>
          <w:color w:val="000000"/>
          <w:sz w:val="24"/>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three (3) Business Days prior to the Company’s receipt of the Holder’s Redemption Notice and ending on and including the date which is three (3) Business Days after the Company’s receipt of the Holder’s Redemption Notice and the Company is unable to redeem all principal, interest and other amounts designated in such Redemption Notice and such Other Redemption Notices received during such seven (7) Business Day period, then the Company shall redeem, a pro rata amount from the Holder and each holder of the Other Notes based on the Principal amount of this Note and the Other Notes submitted for redemption pursuant to such Redemption Notice and such Other Redemption Notices received by the Company during such seven (7) Business Day period. The Holder shall have the right to determine whether this Note or any Other Note held by the Holder is redeemed first.</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Insufficient Assets</w:t>
      </w:r>
      <w:r>
        <w:rPr>
          <w:rFonts w:ascii="Times New Roman;serif" w:hAnsi="Times New Roman;serif"/>
          <w:b w:val="false"/>
          <w:color w:val="000000"/>
          <w:sz w:val="24"/>
        </w:rPr>
        <w:t>. If upon a Redemption Date, the assets of the Company are insufficient to pay the applicable Redemption Price, the Company shall (i) take all appropriate action reasonably within its means to maximize the assets available for paying the applicable Redemption Price, (ii) redeem out of all such assets available therefor on the applicable Redemption Date the maximum possible portion of the applicable Redemption Price that it can redeem on such date, pro rata among the Holder and the holders of the Other Notes to be redeemed in proportion to the aggregate Principal amount of this Note and the Other Notes outstanding on the applicable Redemption Date and (iii) following the applicable Redemption Date, at any time and from time to time when additional assets of the Company become available to pay the balance of the applicable Redemption Price of this Note and the Other Notes, the Company shall use such assets, at the end of the then current fiscal quarter, to pay the balance of such Redemption Price of this Note and the Other Notes, or such portion thereof for which assets are then available, on the basis set forth above at the applicable Redemption Price, and such assets will not be used prior to the end of such fiscal quarter for any other purpose. Interest on the Principal amount of this Note and the Other Notes that have not been redeemed shall continue to accrue until such time as the Company redeems this Note and the Other Notes. The Company shall pay to the Holder the applicable Redemption Price without regard to the legal availability of funds unless expressly prohibited by applicable law or unless the payment of the applicable Redemption Price would reasonably be expected to result in personal liability to the directors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VOTING RIGHTS</w:t>
      </w:r>
      <w:r>
        <w:rPr>
          <w:rFonts w:ascii="Times New Roman;serif" w:hAnsi="Times New Roman;serif"/>
          <w:b w:val="false"/>
          <w:color w:val="000000"/>
          <w:sz w:val="24"/>
        </w:rPr>
        <w:t>. The Holder shall have no voting rights as the holder of this Note, except as required by law and as expressly provided in this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GUARANTEE</w:t>
      </w:r>
      <w:r>
        <w:rPr>
          <w:rFonts w:ascii="Times New Roman;serif" w:hAnsi="Times New Roman;serif"/>
          <w:b w:val="false"/>
          <w:color w:val="000000"/>
          <w:sz w:val="24"/>
        </w:rPr>
        <w:t>. This Note and the Other Notes are guaranteed to the extent and in the manner set forth in the Guarantee (as defined in the Securities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SECURITY; RANK</w:t>
      </w:r>
      <w:r>
        <w:rPr>
          <w:rFonts w:ascii="Times New Roman;serif" w:hAnsi="Times New Roman;serif"/>
          <w:b w:val="false"/>
          <w:color w:val="000000"/>
          <w:sz w:val="24"/>
        </w:rPr>
        <w:t xml:space="preserve">. This Note and the Other Notes are secured to the extent and in the manner set forth in the Security Documents. All payments due under this Note (a) shall rank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with all Other Notes and (b) shall be senior to all other Indebtedness of the Company and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NEGATIVE COVENANTS</w:t>
      </w:r>
      <w:r>
        <w:rPr>
          <w:rFonts w:ascii="Times New Roman;serif" w:hAnsi="Times New Roman;serif"/>
          <w:b w:val="false"/>
          <w:color w:val="000000"/>
          <w:sz w:val="24"/>
        </w:rPr>
        <w:t>. Until all of the Notes have been exchanged, converted, redeemed or otherwise satisfied in full in accordance with their terms, neither the Company nor the Issuer shall, and none of the Company and the Issuer shall permit its respective Subsidiaries without the prior written consent of the Required Holders, directly or indirectly: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Incur or guarantee, assume or suffer to exist any Indebtedness (including Acquired Indebtedness), other than Permitted Indebtedness and, without limiting the generality of the foregoing, the Company shall not (i) create, authorize, Incur or issue any Indebtedness that ranks senior to, or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 xml:space="preserve">with, the Notes and the Additional Notes or (ii) amend any Indebtedness that ranks junior to the Notes and the Additional Notes to rank senior to, or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with, the Notes and the Additional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allow or suffer to exist any mortgage, lien, pledge, charge, security interest or other encumbrance upon or in any property or assets (including accounts and contract rights) owned by the Company, the Issuer or any of their respective Subsidiaries (collectively, “</w:t>
      </w:r>
      <w:r>
        <w:rPr>
          <w:rFonts w:ascii="Times New Roman;serif" w:hAnsi="Times New Roman;serif"/>
          <w:b/>
          <w:color w:val="000000"/>
          <w:sz w:val="24"/>
        </w:rPr>
        <w:t>Liens</w:t>
      </w:r>
      <w:r>
        <w:rPr>
          <w:color w:val="000000"/>
        </w:rPr>
        <w:t>”</w:t>
      </w:r>
      <w:r>
        <w:rPr>
          <w:rFonts w:ascii="Times New Roman;serif" w:hAnsi="Times New Roman;serif"/>
          <w:b w:val="false"/>
          <w:color w:val="000000"/>
          <w:sz w:val="24"/>
        </w:rPr>
        <w:t>)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redeem, prepay, defease, repurchase, repay or make any payments in respect of, by the payment of cash or cash equivalents (in whole or in part, whether by way of open market purchases, tender offers, private transactions or otherwise), all or any portion of any Indebtedness (other than this Note and the Other Notes), whether by way of payment in respect of principal of (or premium, if any) or interest on, such Indebtedness if at the time such payment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 due or is otherwise made or, after giving effect to such payment, an event constituting, or that with the passage of time and without being cured would constitute, an Event of Default has occurred and is continuing;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redeem, prepay, defease, repurchase, repay or make any payments in respect of, by the payment of cash or cash equivalents (in whole or in part, whether by way of open market purchases, tender offers, private transactions or otherwise), all or any portion of any Indebtedness (including, without limitation Permitted Indebtedness other than this Note and the Other Notes), by way of payment in respect of principal of (or premium, if any) such Indebtedness. For clarity, such restriction shall not preclude the payment of regularly scheduled interest payments which may accrue under such Permitted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redeem or repurchase any Equity Interest of the Company, the Issuer or any of their respective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declare or pay any cash dividend or other distribution on any Equity Interest of the Company, the Issuer or any of their respective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make any material change in the nature of its business as described in the Issuer’s most recent Annual Report filed on Form 10-K with the SEC or, other than the Holding Company Reorganization and transactions contemplated by the CVR Term Sheet dated as of March 19, 2026, modify its structure or purpose;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encumber, license or otherwise allow any Liens on any Intellectual Property Rights, including, without limitation, any claims for damage by way of any past, present, or future infringement of any of the foregoing, in each case,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enter into, renew, extend or be a party to, any transaction or series of related transactions (including, without limitation, the purchase, sale, lease, license, transfer or exchange of property or assets of any kind or the rendering of services of any kind) with any Affiliate (other than the Lead Investor and its Affiliates), except in the ordinary course of business in a manner and to an extent consistent with past practice and necessary or desirable for the prudent operation of its business, for fair consideration and on terms no less favorable to the Company, the Issuer or any of their respective Subsidiaries than would be obtainable in a comparable arm’s length transaction with a Person that is not an Affiliate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issue any Notes (other than as contemplated by the Securities Purchase Agreement), or issue any other securities that would cause a breach or default under the Notes;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the Company shall not (i) declare or make any Distribution, (ii) grant, issue or sell any Purchase Rights, (iii) issue any Company Common Stock or any securities convertible, exchangeable or exercisable into Company Common Stock, (iv) subdivide (by any unit split, unit dividend, recapitalization or otherwise) one or more classes of its outstanding Company Common Stock into a greater number of Company Common Stock or (v) combine (by combination, reverse unit split or otherwise) one or more classes of its outstanding Company Common Stock into a smaller number of Company Common Stock, in each case, other than Excluded Securities;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the Issuer shall not issue any shares of Issuer Common Stock or any securities convertible, exchangeable or exercisable into Issuer Common Stock other than shares of Issuer Common Stock deemed to have been issued or sold by the Issuer in connection with any Excluded Securities.</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AFFIRMATIVE COVENANTS</w:t>
      </w:r>
      <w:r>
        <w:rPr>
          <w:rFonts w:ascii="Times New Roman;serif" w:hAnsi="Times New Roman;serif"/>
          <w:b w:val="false"/>
          <w:color w:val="000000"/>
          <w:sz w:val="24"/>
        </w:rPr>
        <w:t>. Until all of the Notes have been exchanged, converted, redeemed or otherwise satisfied in full in accordance with their terms, each of the Company and the Issuer shall, and each of the Company and the Issuer shall cause each of its respective Subsidiaries to, unless otherwise contemplated by the Holding Company Reorganization or agreed to by the Required Holders, directly or indirectly: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maintain and preserve its existence, rights and privileges, and become or remain duly qualified and in good standing in each jurisdiction in which the character of the properties owned or leased by it or in which the transaction of its business makes such qualification necessary;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provided that, where any action or failure to act by the Lead Investor or any of its Affiliates pursuant to the First Amendment to Sublease Agreement or Letter Agreement contributed in whole or in part to an event that would otherwise constitute breach of this Section 16(b), no breach shall be deemed to have occurred or be continuing under this Section 16(b);</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take all action necessary or advisable to maintain all of the existing Intellectual Property Rights that are necessary or material to the conduct of its business in full force and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maintain insurance (including, without limitation, comprehensive general liability, hazard, rent and business interruption insurance) with respect to its properties (including all real properties leased or owned by it) and business that is in all material respects consistent with such amounts and covering such risks as is carried currently by the Company and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promptly, but in any event within one (1) Business Day, notify the Holder, the holders of the Other Notes and the Collateral Agent in writing whenever an Event of Default (an “</w:t>
      </w:r>
      <w:r>
        <w:rPr>
          <w:rFonts w:ascii="Times New Roman;serif" w:hAnsi="Times New Roman;serif"/>
          <w:b/>
          <w:color w:val="000000"/>
          <w:sz w:val="24"/>
        </w:rPr>
        <w:t>Event of Default Notice</w:t>
      </w:r>
      <w:r>
        <w:rPr>
          <w:color w:val="000000"/>
        </w:rPr>
        <w:t>”</w:t>
      </w:r>
      <w:r>
        <w:rPr>
          <w:rFonts w:ascii="Times New Roman;serif" w:hAnsi="Times New Roman;serif"/>
          <w:b w:val="false"/>
          <w:color w:val="000000"/>
          <w:sz w:val="24"/>
        </w:rPr>
        <w:t>) occurs and simultaneously with the delivery of such notice to the Holder which shall not contain any material, nonpublic information (other than in the case of the Lead Investor or any Holder that has consented to the receipt of material, nonpublic information);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cause such Subsidiary formed on or after the Subscription Date to execute, and deliver to each holder of Notes a guaranty agreement substantially in the form of the Guarantee as requested by Required Holders, as applicable;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no earlier than two (2) Business Days prior to the Closing Date, provide the Excluded Investors (as defined in the Securities Purchase Agreement) with a written statement setting forth (a) the aggregate amount available for issuance and sale under the Issuer’s Sales Agreement with Leerink Partners LLC dated March 20, 2025, (b) the remaining capacity thereunder as of the Closing Date, and (c) any pending sales or commitments to sell under such Sales Agreement that have not yet settled as of such date. The Company shall promptly notify the Excluded Investors (as defined in the Securities Purchase Agreement) in writing of any material change to such information occurring between the date of delivery of such statement and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VOTE TO ISSUE, OR CHANGE THE TERMS OF, NOTES</w:t>
      </w:r>
      <w:r>
        <w:rPr>
          <w:rFonts w:ascii="Times New Roman;serif" w:hAnsi="Times New Roman;serif"/>
          <w:b w:val="false"/>
          <w:color w:val="000000"/>
          <w:sz w:val="24"/>
        </w:rPr>
        <w:t xml:space="preserve">. The affirmative vote at a meeting duly called for such purpose or the written consent without a meeting of the Required Holders shall be required for any change or amendment or waiver of any provision to this Note or any of the Other Notes. Any change, amendment or waiver by the Company, the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Issuer and the Required Holders shall be binding on the Holder of this Note and all holders of the Other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TRANSFER</w:t>
      </w:r>
      <w:r>
        <w:rPr>
          <w:rFonts w:ascii="Times New Roman;serif" w:hAnsi="Times New Roman;serif"/>
          <w:b w:val="false"/>
          <w:color w:val="000000"/>
          <w:sz w:val="24"/>
        </w:rPr>
        <w:t>. This Note, any shares of Issuer Common Stock issued upon exchange of this Note and any Company Common Stock issued upon conversion of this Note may be offered, sold, assigned or transferred by the Holder without the consent of the Company or the Issuer, subject only to the provisions of Section 2(i) of the Securities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REISSUANCE OF THIS NOTE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Transfer</w:t>
      </w:r>
      <w:r>
        <w:rPr>
          <w:rFonts w:ascii="Times New Roman;serif" w:hAnsi="Times New Roman;serif"/>
          <w:b w:val="false"/>
          <w:color w:val="000000"/>
          <w:sz w:val="24"/>
        </w:rPr>
        <w:t>. If this Note is to be transferred, the Holder shall surrender this Note to the Company, whereupon the Company will forthwith issue and deliver upon the order of the Holder a new Note (in accordance with Section 19(d) and subject to Section 19(e)), registered as the Holder may request, representing the outstanding Principal being transferred by the Holder and, if less than the entire outstanding Principal is being transferred, a new Note (in accordance with Section 19(d)) to the Holder representing the outstanding Principal not being transferred. The Holder and any assignee, by acceptance of this Note, acknowledge and agree that, by reason of the provisions of Section 19(e) following exchange, conversion or redemption of any portion of this Note, the outstanding Principal represented by this Note may be less than the Principal stated on the face of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Lost, Stolen or Mutilated Note</w:t>
      </w:r>
      <w:r>
        <w:rPr>
          <w:rFonts w:ascii="Times New Roman;serif" w:hAnsi="Times New Roman;serif"/>
          <w:b w:val="false"/>
          <w:color w:val="000000"/>
          <w:sz w:val="24"/>
        </w:rPr>
        <w:t>. Upon receipt by the Company of evidence reasonably satisfactory to the Company of the loss, theft, destruction or mutilation of this Note, and, in the case of loss, theft or destruction, of any indemnification undertaking by the Holder to the Company in customary form (but without any obligation to post a surety or other bond) and, in the case of mutilation, upon surrender and cancellation of this Note, the Company shall execute and deliver to the Holder a new Note (in accordance with Section 19(d)) representing the outstanding Principal.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Note Exchangeable for Different Denominations</w:t>
      </w:r>
      <w:r>
        <w:rPr>
          <w:rFonts w:ascii="Times New Roman;serif" w:hAnsi="Times New Roman;serif"/>
          <w:b w:val="false"/>
          <w:color w:val="000000"/>
          <w:sz w:val="24"/>
        </w:rPr>
        <w:t>. This Note is exchangeable, upon the surrender hereof by the Holder at the principal office of the Company, for a new Note or Notes (in accordance with Section 19(d)) representing in the aggregate the outstanding Principal of this Note, and each such new Note will represent such portion of such outstanding Principal as is designated by the Holder at the time of such surrender.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Issuance of New Notes</w:t>
      </w:r>
      <w:r>
        <w:rPr>
          <w:rFonts w:ascii="Times New Roman;serif" w:hAnsi="Times New Roman;serif"/>
          <w:b w:val="false"/>
          <w:color w:val="000000"/>
          <w:sz w:val="24"/>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19(a) or Section 19(c),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if any, from the Issuance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Registration; Book-Entry</w:t>
      </w:r>
      <w:r>
        <w:rPr>
          <w:rFonts w:ascii="Times New Roman;serif" w:hAnsi="Times New Roman;serif"/>
          <w:b w:val="false"/>
          <w:color w:val="000000"/>
          <w:sz w:val="24"/>
        </w:rPr>
        <w:t>. The Company shall maintain a register (the “</w:t>
      </w:r>
      <w:r>
        <w:rPr>
          <w:rFonts w:ascii="Times New Roman;serif" w:hAnsi="Times New Roman;serif"/>
          <w:b/>
          <w:color w:val="000000"/>
          <w:sz w:val="24"/>
        </w:rPr>
        <w:t>Register</w:t>
      </w:r>
      <w:r>
        <w:rPr>
          <w:color w:val="000000"/>
        </w:rPr>
        <w:t>”</w:t>
      </w:r>
      <w:r>
        <w:rPr>
          <w:rFonts w:ascii="Times New Roman;serif" w:hAnsi="Times New Roman;serif"/>
          <w:b w:val="false"/>
          <w:color w:val="000000"/>
          <w:sz w:val="24"/>
        </w:rPr>
        <w:t>) for the recordation of the names and addresses of the holders of each Note and the Principal amounts of the Notes (and stated interest thereon) held by such holders (the “</w:t>
      </w:r>
      <w:r>
        <w:rPr>
          <w:rFonts w:ascii="Times New Roman;serif" w:hAnsi="Times New Roman;serif"/>
          <w:b/>
          <w:color w:val="000000"/>
          <w:sz w:val="24"/>
        </w:rPr>
        <w:t>Registered Notes</w:t>
      </w:r>
      <w:r>
        <w:rPr>
          <w:color w:val="000000"/>
        </w:rPr>
        <w:t>”</w:t>
      </w:r>
      <w:r>
        <w:rPr>
          <w:rFonts w:ascii="Times New Roman;serif" w:hAnsi="Times New Roman;serif"/>
          <w:b w:val="false"/>
          <w:color w:val="000000"/>
          <w:sz w:val="24"/>
        </w:rPr>
        <w:t xml:space="preserve">).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transferred or sold in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whole or in part only by registration of such assignment, transfer or sale on the Register. Upon its receipt of a request to assign, transfer or sell all or part of any Registered Note by the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19,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in this Section 19(e), the Holder may assign any Note or any portion thereof to an Affiliate of the Holder or a Related Fund of the Holder without delivering a request to assign or sell the Note to the Company and the recordation of such assignment, transfer or sale in the Register (a “</w:t>
      </w:r>
      <w:r>
        <w:rPr>
          <w:rFonts w:ascii="Times New Roman;serif" w:hAnsi="Times New Roman;serif"/>
          <w:b/>
          <w:color w:val="000000"/>
          <w:sz w:val="24"/>
        </w:rPr>
        <w:t>Related Party Assignment</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(x) the Company may continue to deal solely with such assigning or selling Holder unless and until the Holder has delivered a request to assign or sell the Note or portion thereof to the Company for recordation in the Register; (y) the failure of such assigning or selling Holder to deliver a request to assign, transfer or sell the Note or portion thereof to the Company shall not affect the legality, validity, or binding effect of such assignment, transfer or sale and (z) such assigning or selling Holder shall, acting solely for this purpose as a non-fiduciary agent of the Company, maintain a register (the “</w:t>
      </w:r>
      <w:r>
        <w:rPr>
          <w:rFonts w:ascii="Times New Roman;serif" w:hAnsi="Times New Roman;serif"/>
          <w:b/>
          <w:color w:val="000000"/>
          <w:sz w:val="24"/>
        </w:rPr>
        <w:t>Related Party Register</w:t>
      </w:r>
      <w:r>
        <w:rPr>
          <w:color w:val="000000"/>
        </w:rPr>
        <w:t>”</w:t>
      </w:r>
      <w:r>
        <w:rPr>
          <w:rFonts w:ascii="Times New Roman;serif" w:hAnsi="Times New Roman;serif"/>
          <w:b w:val="false"/>
          <w:color w:val="000000"/>
          <w:sz w:val="24"/>
        </w:rPr>
        <w:t>) comparable to the Register on behalf of the Company, and any such assignment, transfer or sale shall be effective upon recordation of such assignment, transfer or sale in the Related Party Register. Notwithstanding anything to the contrary set forth herein, upon exchange or conversion of any portion of this Note in accordance with the terms hereof, the Holder shall not be required to physically surrender this Note to the Company unless (A) the full Outstanding Amount represented by this Note is being exchanged and/or converted or (B) the Holder has provided the Company with prior written notice (which notice may be included in an Exchange Notice or Conversion Notice) requesting reissuance of this Note upon physical surrender of this Note. The Holder and the Company shall maintain records showing the Principal, and Interest, if any, exchanged, converted and/or paid (as the case may be) and the dates of such exchanges, conversions and/or payments (as the case may be) or shall use such other method, reasonably satisfactory to the Holder and the Company, so as not to require physical surrender of this Note upon exchange or conversion. If the Company does not update the Register to record such Principal and Interest exchanged, converted and/or paid (as the case may be) and the dates of such exchanges, conversions and/or payments (as the case may be) within two (2) Business Days of such occurrence, then the Register shall be automatically deemed updated to reflect such occurrence.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REMEDIES, CHARACTERIZATIONS, OTHER OBLIGATIONS, BREACHES AND INJUNCTIVE RELIEF</w:t>
      </w:r>
      <w:r>
        <w:rPr>
          <w:rFonts w:ascii="Times New Roman;serif" w:hAnsi="Times New Roman;serif"/>
          <w:b w:val="false"/>
          <w:color w:val="000000"/>
          <w:sz w:val="24"/>
        </w:rPr>
        <w:t xml:space="preserve">. The remedies provided in this Note shall be cumulative and in addition to all other remedies available under this Note and any of the other Transaction Documents at law or in equity (including a decree of specific performance and/or other injunctive relief). No remedy contained herein shall be deemed a waiver of compliance with the provisions giving rise to such remedy. Nothing herein shall limit the Holder’s or Collateral Agent’s right to pursue actual and consequential damages for any failure by the Company or the Issuer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or the Collateral Agent at law or equity or under this Note or any of the documents shall not be deemed to be an election of Holder’s rights or remedies under such documents or at law or equity. Each of the Company and the Issuer covenants to the Holder that there shall be no characterization concerning this instrument other than as expressly provided herein. Amounts set forth or provided for herein with respect to payments, exchange, conversion, redemption and the like (and the computation thereof) shall be the amounts to be received by the Holder and shall not, except as expressly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herein, be subject to any other obligation of the Company (or the performance thereof). Each of the Company and the Issuer acknowledges that a breach by it of its obligations hereunder will cause irreparable harm to the Holder and that the remedy at law for any such breach may be inadequate. Each of the Company and the Issuer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PAYMENT OF COLLECTION, ENFORCEMENT AND OTHER COSTS</w:t>
      </w:r>
      <w:r>
        <w:rPr>
          <w:rFonts w:ascii="Times New Roman;serif" w:hAnsi="Times New Roman;serif"/>
          <w:b w:val="false"/>
          <w:color w:val="000000"/>
          <w:sz w:val="24"/>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the Issuer or other proceedings affecting the Company’s or the Issuer’s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CONSTRUCTION; HEADINGS</w:t>
      </w:r>
      <w:r>
        <w:rPr>
          <w:rFonts w:ascii="Times New Roman;serif" w:hAnsi="Times New Roman;serif"/>
          <w:b w:val="false"/>
          <w:color w:val="000000"/>
          <w:sz w:val="24"/>
        </w:rPr>
        <w:t>. This Note shall be deemed to be jointly drafted by the Company, the Issuer and all the Buyers and shall not be construed against any Person as the drafter hereof. The headings of this Note are for convenience of reference and shall not form part of, or affect the interpretation of, this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FAILURE OR INDULGENCE NOT WAIVER</w:t>
      </w:r>
      <w:r>
        <w:rPr>
          <w:rFonts w:ascii="Times New Roman;serif" w:hAnsi="Times New Roman;serif"/>
          <w:b w:val="false"/>
          <w:color w:val="000000"/>
          <w:sz w:val="24"/>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In the case of a dispute as to the determination of the Closing Bid Price, the Closing Sale Price or the Weighted Average Price or the arithmetic calculation of the Exchange / Conversion Price or any Redemption Price, the Company and/or the Issuer, as applicable, shall pay the applicable Redemption Price that is not disputed or shall cause the Transfer Agent to issue to the Holder the number of shares of Issuer Common Stock that is not disputed, as applicable, and the Company and/or the Issuer, as applicable, submit the disputed determinations or arithmetic calculations via electronic mail within one (1) Business Day of receipt, or deemed receipt, of the Exchange Notice, Conversion Notice or Redemption Notice or other event giving rise to such dispute, as the case may be, to the Holder. If the Holder and the Company and/or the Issuer, as applicable, are unable to agree upon such determination or calculation within one (1) Business Day of such disputed determination or arithmetic calculation being submitted to the Holder, then the Company and/or the Issuer, as applicable, shall, within one (1) Business Day submit via electronic mail (a) the disputed determination of the Closing Bid Price, the Closing Sale Price or the Weighted Average Price to an independent, reputable investment bank selected by the Holder and approved by the Company and/or the Issuer, as applicable, such approval not to be unreasonably withheld, conditioned or delayed, or (b) the disputed arithmetic calculation of the Exchange / Conversion Price or any Redemption Price to an independent, outside accountant, selected by the Holder and approved by the Company and/or the Issuer, as applicable, such approval not to be unreasonably withheld, conditioned or delayed. The Company and/or the Issuer, as applicable, at the Company’s or the Issuer’s, as applicable, expense, shall cause the investment bank or the accountant, as the case may be, to perform the determinations or calculations and notify the Company and/or the Issuer, as applicable, and the Holder of the results no later than five (5) Business Days from the time it receives the disputed determinations or calculations. Such investment bank’s or accountant’s determination or calculation, as the case may be, shall be binding upon all parties absent demonstrable error.</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NOTICES; PAYMENTS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Notices</w:t>
      </w:r>
      <w:r>
        <w:rPr>
          <w:rFonts w:ascii="Times New Roman;serif" w:hAnsi="Times New Roman;serif"/>
          <w:b w:val="false"/>
          <w:color w:val="000000"/>
          <w:sz w:val="24"/>
        </w:rPr>
        <w:t>. Whenever notice is required to be given under this Note, unless otherwise provided herein, such notice shall be given in accordance with Section 9(f) of the Securities Purchase Agreement. The Company and/or the Issuer, as applicable, shall provide the Holder with prompt written notice of all actions taken pursuant to this Note, including in reasonable detail a description of such action and the reason therefor. Without limiting the generality of the foregoing, the Company and/or the Issuer, as applicable, shall give written notice to the Holder (i) immediately upon any adjustment of the Exchange / Conversion Price, setting forth in reasonable detail, and certifying, the calculation of such adjustment and (ii) at least twenty (20) Business Days prior to the date on which the Company and/or the Issuer, as applicable, closes its books or takes a record (A) with respect to any dividend or distribution upon the Issuer Common Stock, (B) with respect to any pro rata subscription offer to holders of Issuer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Payments</w:t>
      </w:r>
      <w:r>
        <w:rPr>
          <w:rFonts w:ascii="Times New Roman;serif" w:hAnsi="Times New Roman;serif"/>
          <w:b w:val="false"/>
          <w:color w:val="000000"/>
          <w:sz w:val="24"/>
        </w:rPr>
        <w:t xml:space="preserve">. Whenever any payment of cash is to be made by the Company to any Person pursuant to this Note, such payment shall be made in lawful money of the United States of America via wire transfer of immediately available funds by providing the Company with prior written notice setting out such request and the Holder’s wire transfer instructions;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Holder, upon written notice to the Company, may elect to receive a payment of cash in lawful money of the United States of America by a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Whenever any amount expressed to be due by the terms of this Note is due on any day which is not a Business Day, the same shall instead be due on the next succeeding day which is a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CANCELLATION</w:t>
      </w:r>
      <w:r>
        <w:rPr>
          <w:rFonts w:ascii="Times New Roman;serif" w:hAnsi="Times New Roman;serif"/>
          <w:b w:val="false"/>
          <w:color w:val="000000"/>
          <w:sz w:val="24"/>
        </w:rPr>
        <w:t>. After all Principal, any accrued Interest and any other amounts at any time owed on this Note have been paid in full, this Note shall automatically be deemed canceled, shall be surrendered to the Company for cancellation and shall not be reissued.</w:t>
      </w:r>
    </w:p>
    <w:p>
      <w:pPr>
        <w:pStyle w:val="TextBody"/>
        <w:bidi w:val="0"/>
        <w:spacing w:lineRule="auto" w:line="240"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WAIVER OF NOTICE</w:t>
      </w:r>
      <w:r>
        <w:rPr>
          <w:rFonts w:ascii="Times New Roman;serif" w:hAnsi="Times New Roman;serif"/>
          <w:b w:val="false"/>
          <w:color w:val="000000"/>
          <w:sz w:val="24"/>
        </w:rPr>
        <w:t>. To the extent permitted by law, each of the Company and the Issuer hereby waives demand, notice, protest and all other demands and notices in connection with the delivery, acceptance, performance, default or enforcement of this Note and the Securities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GOVERNING LAW; JURISDICTION; JURY TRIAL</w:t>
      </w:r>
      <w:r>
        <w:rPr>
          <w:rFonts w:ascii="Times New Roman;serif" w:hAnsi="Times New Roman;serif"/>
          <w:b w:val="false"/>
          <w:color w:val="000000"/>
          <w:sz w:val="24"/>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of the Company and the Issuer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of the Company and the Issuer hereby irrevocably waives personal service of process and consents to process being served in any such suit, action or proceeding by mailing a copy thereof to such party at the address set forth in Section 9(f)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or the Issuer in any other jurisdiction to collect on the Company’s or the Issuer’s obligations to the Holder, to realize on any collateral or any other security for such obligations, or to enforce a judgment or other court ruling in favor of the Holder. </w:t>
      </w:r>
      <w:r>
        <w:rPr>
          <w:rFonts w:ascii="Times New Roman;serif" w:hAnsi="Times New Roman;serif"/>
          <w:b/>
          <w:color w:val="000000"/>
          <w:sz w:val="24"/>
        </w:rPr>
        <w:t>EACH OF THE COMPANY AND THE ISSUER HEREBY IRREVOCABLY WAIVES ANY RIGHT IT MAY HAVE, AND AGREES NOT TO REQUEST, A JURY TRIAL FOR THE ADJUDICATION OF ANY DISPUTE HEREUNDER OR IN CONNECTION WITH OR ARISING OUT OF THIS NOTE OR ANY TRANSACTION CONTEMPLATED 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(30)</w:t>
      </w:r>
      <w:r>
        <w:rPr>
          <w:rFonts w:ascii="Times New Roman;serif" w:hAnsi="Times New Roman;serif"/>
          <w:b w:val="false"/>
          <w:color w:val="000000"/>
          <w:sz w:val="24"/>
          <w:u w:val="single"/>
        </w:rPr>
        <w:t>DISCLOSURE</w:t>
      </w:r>
      <w:r>
        <w:rPr>
          <w:rFonts w:ascii="Times New Roman;serif" w:hAnsi="Times New Roman;serif"/>
          <w:b w:val="false"/>
          <w:color w:val="000000"/>
          <w:sz w:val="24"/>
        </w:rPr>
        <w:t>. Upon delivery by the Company or the Issuer to the Holder (or receipt by the Company or the Issuer from the Holder) of any notice in accordance with the terms of this Note, unless each of the Company and the Issuer has in good faith determined that the matters relating to such notice do not constitute material, nonpublic information relating to the Company, the Issuer or any of their respective Subsidiaries, the Issuer shall contemporaneously with any such delivery (or on or prior to 8:30 a.m., New York city time on the Business Day following a notice from the Holder) publicly disclose such material, nonpublic information on a Current Report on Form 8-K or otherwise. In the event that the Company or the Issuer believes that a notice contains material, nonpublic information relating to the Company, the Issuer or any of their respective Subsidiaries, the Company or the Issuer shall so indicate in such notice to the Holder contemporaneously with delivery of such notice (or immediately upon receipt of notice from the Holder in a written notice), and in the absence of any such written indication in such notice (or notice from the Company or the Issuer immediately upon receipt of a notice from the Holder), the Holder shall be allowed to presume that all matters relating to such notice do not constitute material, nonpublic information relating to the Company, the Issuer or any of their respective Subsidiaries. Nothing contained in this Section 30 shall limit any obligations of the Company, the Issuer, or any rights of the Holder, under Section 4(i) of the Securities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USURY</w:t>
      </w:r>
      <w:r>
        <w:rPr>
          <w:rFonts w:ascii="Times New Roman;serif" w:hAnsi="Times New Roman;serif"/>
          <w:b w:val="false"/>
          <w:color w:val="000000"/>
          <w:sz w:val="24"/>
        </w:rPr>
        <w:t xml:space="preserve">. This Note is subject to the express condition that at no time shall the Company be obligated or required to pay interest hereunder at a rate or in an amount which could subject the Holder to either civil or criminal liability as a result of being in excess of the maximum interest rate or amount which the Company is permitted by applicable law to contract or agree to pay. If by the terms of this Note, the Company is at any time required or obligated to pay interest hereunder at a rate or in an amount in excess of such maximum rate or amount, the rate or amount of interest under this Note shall be deemed to be immediately reduced to such maximum rate or amount and the interest payable shall be computed at such maximum rate or be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such maximum amount and all prior interest payments in excess of such maximum rate or amount shall be applied and shall be deemed to have been payments in reduction of the principal balance of this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ABSENCE OF TRADING AND DISCLOSURE RESTRICTIONS</w:t>
      </w:r>
      <w:r>
        <w:rPr>
          <w:rFonts w:ascii="Times New Roman;serif" w:hAnsi="Times New Roman;serif"/>
          <w:b w:val="false"/>
          <w:color w:val="000000"/>
          <w:sz w:val="24"/>
        </w:rPr>
        <w:t>. Each of the Company and the Issuer acknowledges and agrees that the Holder is not, by virtue of the Note or the transactions contemplated by the Transaction Documents, a fiduciary or agent of the Company, the Issuer and/or any of their respective Subsidiaries and that, to the extent any Holder of a Note is an entity other than the Lead Investor and its Affiliates, such Holder shall have no obligation to (a) maintain the confidentiality of any information provided by the Company, the Issuer and/or any of their respective Subsidiaries or (b) refrain from trading any securities of the Company, the Issuer and/or any of their respective Subsidiaries while in possession of such information in the absence of a written non-disclosure agreement signed by an officer of such Holder that explicitly provides for such confidentiality and trading restrictions. In the absence of such an executed, written non-disclosure agreement, each of the Company and the Issuer acknowledges that, to the extent any Holder of a Note is an entity other than the Lead Investor and its Affiliates, such Holder may freely trade in any securities issued by the Company, the Issuer and/or any of their respective Subsidiaries, may possess and use any information provided by the Company, the Issuer and/or any of their respective Subsidiaries, as the case may be, in connection with such trading activity, and may disclose any such information to any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THE COLLATERAL AGENT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Holder hereby confirms the appointment of Acquiom Agency Services LLC as the Collateral Agent for the benefit of the Holder under this Note and the other Note Documents to serve from the date hereof until the termination of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Duties as Collateral Agent</w:t>
      </w:r>
      <w:r>
        <w:rPr>
          <w:rFonts w:ascii="Times New Roman;serif" w:hAnsi="Times New Roman;serif"/>
          <w:b w:val="false"/>
          <w:color w:val="000000"/>
          <w:sz w:val="24"/>
        </w:rPr>
        <w:t>. In addition to the duties set forth elsewhere in this Note, Collateral Agent shall have the sole and exclusive right and authority, and is hereby authorized (without obligation), to (i) file and prove claims and file other documents necessary or desirable to allow its claims with respect to any security interest, in any proceeding, or any other bankruptcy, insolvency or similar proceeding, (ii) act as collateral agent for the Holder for purposes of the perfection of the charge created by the Security Agreement and all other purposes stated therein, (iii) manage, supervise and otherwise deal with the Collateral (as defined in the Security Agreement), (iv) take such other action as is necessary or desirable to maintain the perfection and priority of the charge created or purported to be created by the Security Agreement (provided that, as applicable, the Collateral Agent shall take any of the foregoing actions as directed by the Required Holders so long as the Required Holders shall prepare any documentation required to be filed or executed in connection with such direction), (v) except as may be otherwise specified in any Note Document, exercise all remedies given to the Collateral Agent with respect to the Company, any Guarantor (as defined in the Security Agreement) or the Collateral, whether under the Note Documents, applicable law or otherwise and (vi) execute any amendment, consent or waiver under the Note Documents (as directed by the Required Holders) on behalf of any Holder that has consented in writing to such amendment, consent or waiver.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The Holder, by accepting the benefits of the Note Documents, agrees that (i) any action taken by the Collateral Agent in accordance with the provisions of the Note Documents, (ii) any action taken by the Collateral Agent in reliance upon the instructions of the Required Holders and (iii) the exercise by the Collateral Agent of the powers set forth herein or therein, together with such other powers as are reasonably incidental thereto, shall be authorized and binding upon all of the Holder and any of its permitted successors and assigns.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Fees and Expenses; Indemnification</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(i)Subject to the cap set forth in Section 10(c) of the Security Agreement, the Company will pay to the Collateral Agent such reasonable and documented fees and expenses in respect of their services under this Note in accordance with the terms of the Agent Fee Letter. Subject to the cap set forth in Section 10(c) of the Security Agreement, the Company shall reimburse the Collateral Agent, and each of its agents and/or advisors, promptly for any duly documented costs and expenses that may be reasonably incurred by the Collateral Agent, or any of its agents and/or advisors, in connection with the preparation, execution, delivery, administration, modification, consent, waiver or enforcement (whether through negotiations, through any work-out, bankruptcy, restructuring or other legal or other proceeding or otherwise) of, or legal advice in respect of its rights or responsibilities under, any Note Document. Such expenses shall include the reasonable and documented compensation and expenses, disbursements and advances of the Collateral Agent’s agents, counsel, accountants and experts.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Company agrees to defend, protect, indemnify and hold harmless the Collateral Agent and each other Indemnitee in accordance with Section 9(k)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(iii)To the extent that the Company fails to pay any amount required to be paid by it to the Collateral Agent or a related party thereof under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above, Holder, together with the holders of the Other Notes, severally agrees to pay to the Collateral Agent such Holder’s </w:t>
      </w:r>
      <w:r>
        <w:rPr>
          <w:rFonts w:ascii="Times New Roman;serif" w:hAnsi="Times New Roman;serif"/>
          <w:b w:val="false"/>
          <w:i/>
          <w:color w:val="000000"/>
          <w:sz w:val="24"/>
        </w:rPr>
        <w:t xml:space="preserve">pro rata </w:t>
      </w:r>
      <w:r>
        <w:rPr>
          <w:rFonts w:ascii="Times New Roman;serif" w:hAnsi="Times New Roman;serif"/>
          <w:b w:val="false"/>
          <w:color w:val="000000"/>
          <w:sz w:val="24"/>
        </w:rPr>
        <w:t xml:space="preserve">share (determined as of the time that the applicable unreimbursed expense or indemnity payment is sought) of such unpaid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unreimbursed expense or indemnified loss, claim, damage, liability or related expense, as the case may be, was incurred by or asserted against the Collateral Agent in its capacity as such. For purposes hereof, a Holder’s “</w:t>
      </w:r>
      <w:r>
        <w:rPr>
          <w:rFonts w:ascii="Times New Roman;serif" w:hAnsi="Times New Roman;serif"/>
          <w:b/>
          <w:i/>
          <w:color w:val="000000"/>
          <w:sz w:val="24"/>
        </w:rPr>
        <w:t>pro rata share</w:t>
      </w:r>
      <w:r>
        <w:rPr>
          <w:color w:val="000000"/>
        </w:rPr>
        <w:t xml:space="preserve">” </w:t>
      </w:r>
      <w:r>
        <w:rPr>
          <w:rFonts w:ascii="Times New Roman;serif" w:hAnsi="Times New Roman;serif"/>
          <w:b w:val="false"/>
          <w:color w:val="000000"/>
          <w:sz w:val="24"/>
        </w:rPr>
        <w:t>shall be determined based upon its share of the sum of the outstanding Notes at the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Delegation of Rights and Duties</w:t>
      </w:r>
      <w:r>
        <w:rPr>
          <w:rFonts w:ascii="Times New Roman;serif" w:hAnsi="Times New Roman;serif"/>
          <w:b w:val="false"/>
          <w:color w:val="000000"/>
          <w:sz w:val="24"/>
        </w:rPr>
        <w:t>. The Collateral Agent may, upon any term or condition it specifies, delegate or exercise any of its rights, powers and remedies under, and delegate or perform any of its duties or any other action with respect to, any Note Document by or through any trustee, agent, employee, attorney-in-fact and any other person and, subject to Section 33(i), shall not be responsible or liable for the supervision of or negligence or willful misconduct of any such person appointed with reasonable care (other than employees, officers and directors of the Collateral Agent, when acting on behalf of the Collateral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Changes or Termination of Agent</w:t>
      </w:r>
      <w:r>
        <w:rPr>
          <w:rFonts w:ascii="Times New Roman;serif" w:hAnsi="Times New Roman;serif"/>
          <w:b w:val="false"/>
          <w:color w:val="000000"/>
          <w:sz w:val="24"/>
        </w:rPr>
        <w:t xml:space="preserve">. The Collateral Agent may resign at any time upon 10 days’ notice to the Company, the Holder and the holders of the Other Notes, and the Required Holders may remove or replace the Collateral Agent at any time upon 10 days’ notice by notifying the Company and the holders of the Notes. Upon any such resignation or replacement, the Required Holders shall have the right to appoint a successor collateral agent in consultation with the Company. Upon the acceptance of its appointment as Collateral Agent, as applicable, hereunder by a successor, such successor shall succeed to and become vested with all the rights, powers, privileges and duties of the retiring Collateral Agent and the retiring, replaced or removed Collateral Agent, as applicable, shall be discharged from its duties and obligations hereunder. If no successor Collateral Agent shall have been appointed and shall have accepted such appointment, then on such 10th day (a) the retiring Collateral Agent’s resignation, replacement or removal shall become effective, (b) the retiring, replaced or removed Collateral Agent shall thereupon be discharged from its duties and obligations hereunder and (c) the Required Holders shall thereafter perform all duties of the Collateral Agent hereunder and under the other Note Documents until such time, if any, as the Required Holders appoint a successor Collateral Agent in consultation with the Company. The Collateral Agent shall have no liability or responsibility for any action or inaction of any successor Collateral Agent. Notwithstanding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replacement of the Collateral Agent pursuant to this Section 33(f), the Holder’s obligations under Section 33 hereof will continue for the benefit of the retiring Collateral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Use of Discretion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i/>
          <w:color w:val="000000"/>
          <w:sz w:val="24"/>
        </w:rPr>
        <w:t>No Action Without Instructions</w:t>
      </w:r>
      <w:r>
        <w:rPr>
          <w:rFonts w:ascii="Times New Roman;serif" w:hAnsi="Times New Roman;serif"/>
          <w:b w:val="false"/>
          <w:color w:val="000000"/>
          <w:sz w:val="24"/>
        </w:rPr>
        <w:t>. The Collateral Agent shall not be required to exercise any discretion or take, or to omit to take, any action, including with respect to enforcement or collection, except any action it is expressly required to take or omit to take (i) under any Note Document or (ii) pursuant to instructions from the Required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i/>
          <w:color w:val="000000"/>
          <w:sz w:val="24"/>
        </w:rPr>
        <w:t>Right Not to Follow Certain Instructions</w:t>
      </w:r>
      <w:r>
        <w:rPr>
          <w:rFonts w:ascii="Times New Roman;serif" w:hAnsi="Times New Roman;serif"/>
          <w:b w:val="false"/>
          <w:color w:val="000000"/>
          <w:sz w:val="24"/>
        </w:rPr>
        <w:t>. Notwithstanding clause (i) above, the Collateral Agent shall not be required to take, or to omit to take, any action (i) unless, upon demand, the Collateral Agent receives an indemnification satisfactory to it, in its sole discretion, from the Required Holders (or, to the extent applicable and acceptable to the Collateral Agent, any other Person) against all liabilities that, by reason of such action or omission, may be imposed on, incurred by or asserted against the Collateral Agent or any Affiliate thereof or (ii) that is, in the opinion of the Collateral Agent or its counsel, contrary to any Note Document or applicable law. Except as otherwise expressly provided herein, the Collateral Agent shall not be under any obligation to take any action under the provisions of any Note Documents or any related documents, except upon the written instruction of the Required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i/>
          <w:color w:val="000000"/>
          <w:sz w:val="24"/>
        </w:rPr>
        <w:t>Exclusive Right to Enforce Rights and Remedies</w:t>
      </w:r>
      <w:r>
        <w:rPr>
          <w:rFonts w:ascii="Times New Roman;serif" w:hAnsi="Times New Roman;serif"/>
          <w:b w:val="false"/>
          <w:color w:val="000000"/>
          <w:sz w:val="24"/>
        </w:rPr>
        <w:t>. Notwithstanding anything to the contrary contained herein or in any other Note Document, the authority to enforce rights and remedies hereunder and under the other Note Documents against the Company or the Guarantor shall be vested exclusively in, and all actions and proceedings at law in connection with such enforcement shall be instituted and maintained exclusively by, the Collateral Agent in accordance with the Note Documents for the benefit of all the Secured Parties, provided that the foregoing shall not prohibit (i) the Collateral Agent from exercising on its own behalf the rights and remedies that inure to its benefit hereunder and under the Note Documents, (ii) any Secured Party from filing proofs of claim or appearing and filing pleadings on its own behalf during the pendency of a proceeding relative to any of the Note Parties under any bankruptcy or other debtor relief law; and provided further that if at any time there is no Person acting as Collateral Agent, as the case may be, hereunder and under the other Note Documents, then in addition to the matters set forth in clause (ii) of the preceding proviso, any Secured Party may, with the consent of the Required Holders, enforce any rights and remedies available to it and as authorized by the Required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Conclusive Reliance</w:t>
      </w:r>
      <w:r>
        <w:rPr>
          <w:rFonts w:ascii="Times New Roman;serif" w:hAnsi="Times New Roman;serif"/>
          <w:b w:val="false"/>
          <w:color w:val="000000"/>
          <w:sz w:val="24"/>
        </w:rPr>
        <w:t>. The Collateral Agent may, without incurring any liability hereunder, (i) treat the payee of any Note as its holder until it has received written notice that such Note has been transferred in accordance with the Note, (ii) consult with any of its agents and, whether or not selected by it, any other advisors, legal counsel, accountants and other experts (including advisors to, and accountants and experts engaged by, any Secured Party) and (iii) conclusively rely and act upon any document and information (including those transmitted by electronic transmission) and any telephone message or conversation, in each case believed by it to be genuine and transmitted, signed or otherwise authenticated by the appropriate parties. The Collateral Agent need not investigate any statement, warranty or representation or any fact or matter stated in any such document and may conclusively rely as to the truth of the statements and the correctness of the opinions expressed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Limitation of Liability</w:t>
      </w:r>
      <w:r>
        <w:rPr>
          <w:rFonts w:ascii="Times New Roman;serif" w:hAnsi="Times New Roman;serif"/>
          <w:b w:val="false"/>
          <w:color w:val="000000"/>
          <w:sz w:val="24"/>
        </w:rPr>
        <w:t xml:space="preserve">. The Collateral Agent (or its agents) shall not be liable for any action taken or omitted to be taken by any of them under or in connection with any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Note Document, the other parties hereto each hereby waive and shall not assert any right, claim or cause of action based thereon, except to the extent of liabilities resulting primarily from the fraud, gross negligence or willful misconduct of the Collateral Agent or any of its agents (each as determined in a final, non-appealable judgment by a court of competent jurisdiction) in connection with the duties expressly set forth herein. Without limiting the foregoing: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Collateral Agent shall not be responsible or otherwise incur liability for any action or omission taken in reliance upon the instructions of the Required Holders or for the actions or omissions of any of its agents selected with reasonable care (other than employees, officers and directors of the Collateral Agent, when acting on behalf of the Collateral Agent);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Collateral Agent shall not be responsible to the Company, any Guarantor or other Person for the due execution, legality, validity, enforceability, effectiveness, genuineness, sufficiency or value of, or the attachment, perfection or priority of any charge created or purported to be created under or in connection with, this Note or any other Note Document;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Collateral Agent shall not have any duty to ascertain or to inquire as to the performance or observance of any provision of any Note Document, whether any condition set forth in any Note Document is satisfied or waived, as to the financial condition of the Company, the Guarantor or any other Person as to the existence or continuation or possible occurrence or continuation of any Event of Default and shall not be deemed to have notice or knowledge of such occurrence or continuation unless it has received a written notice from the Company or any Guarantor describing such Event of Default clearly labeled “notice of default”;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(iv)no provision of this Note or any other Note Document shall require the Collateral Agent to expend or risk its own funds or otherwise incur any liability, financial or otherwise, in the performance of any of its duties hereunder or thereunder or in the exercise of any of its rights or powers, if it shall have grounds to believe that repayment of such funds or indemnity satisfactory to it against such risk or liability is not assured to it;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Collateral Agent shall not be liable for any error of judgment made in good faith by it unless it shall be conclusively determined by the final judgment of a court of competent jurisdiction, no longer subject to appeal or review, that the Collateral Agent was grossly negligent in ascertaining the pertinent facts;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(vi)every provision in any other Note Document relating to the respective conduct or affecting the liability of or affording protection to the Collateral Agent shall be subject to the provisions of this Note;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(vii)as to any fact or matter the manner of ascertainment of which is not specifically described herein, the Collateral Agent shall be entitled to receive and may for all purposes hereof conclusively rely on a certificate, signed by an officer of any duly authorized Person, as to such fact or matter, and such certificate shall constitute full protection to the Collateral Agent, as applicable, for any action taken or omitted to be taken by it in good faith in reliance thereon;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(viii)the Collateral Agent shall not be liable for any action it takes or omits to take in good faith which it believes to be authorized or within its respective rights or powers;</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(ix)the Collateral Agent may consult with counsel of its selection, and the advice or opinion of counsel with respect to legal matters relating to any Note Document or any related document shall be full and complete authorization and protection from liability in respect of any action taken, omitted or suffered by them under any Note Document or under any related document in good faith and in accordance with the advice or opinion of such counsel;</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(x)the Collateral Agent shall not be bound to make any investigation into (A) the performance or observance by any Person of any of the covenants, agreements or other terms or conditions set forth in the Note Documents or in any related document, (B) the occurrence of any default, or the validity, enforceability, effectiveness or genuineness of any Note Document, any related document or any other agreement, instrument or document or (C) the value or the sufficiency of any Collateral;</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(xi)in no event shall the Collateral Agent be responsible or liable for special, indirect, punitive or consequential loss or damage of any kind whatsoever (including, but not limited to, loss of profit), even if the Collateral Agent has been advised of the likelihood of such loss or damage and regardless of the form of action;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(xii)the respective rights, privileges, protections, immunities and benefits given to the Collateral Agent, including, without limitation, the right to be indemnified, are extended to, and shall be enforceable by the Collateral Agent in each document related hereto to which it is a party;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(xiii)the Collateral Agent shall not have any duty or responsibility in respect of (A) any recording, filing, or depositing of any Note Document or any other agreement or instrument, monitoring or filing any financing statement or continuation statement evidencing a security interest, the maintenance of any such recording, filing or depositing or to any re-recording, re-filing or re-depositing of any thereof, or otherwise monitoring the perfection, continuation of perfection or the sufficiency or validity of any security interest in or related to the Collateral, (B) the acquisition or maintenance of any insurance or (C) the payment or discharge of any tax, assessment, or other governmental charge or any lien or encumbrance of any kind owing with respect to, assessed or levied against, any part of the Collateral;</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(xiv)the right of Collateral Agent to perform any discretionary act enumerated in any Note Document or any related document shall not be construed as a duty;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(xv)if the Collateral Agent requests instructions from the Note Parties with respect to any action or omission in connection with any Note Document or any related document, the Collateral Agent shall be entitled (without incurring any liability therefor) to refrain from taking such action and continue to refrain from acting unless and until the Collateral Agent shall have received written instructions from the Required Holders, as applicable, with respect to such request;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(xvi)in order to comply with laws, rules, regulations and executive orders in effect from time to time applicable to banking institutions, including those relating to the funding of terrorist activities and money laundering, the Collateral Agent is required to obtain, verify and record certain information relating to individuals and entities which maintain a business relationship with the Collateral Agent, and accordingly, each of the parties agrees to provide to the Collateral Agent upon its request from time to time such identifying information and documentation as may be available for such party in order to enable the Collateral Agent to comply with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(xvii)in no event shall the Collateral Agent be liable for any failure or delay in the performance of its obligations under the Note Documents or any related documents because of circumstances beyond their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the Note Documents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Collateral Agent’s control whether or not of the same class or kind as specified above;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(xviii)the Collateral Agent shall not be liable for failing to comply with their respective obligations under the Note Documents or any related documents insofar as the performance of such obligations is dependent upon the timely receipt of instructions and/or other information from any other Person which are not received or not received by the time required;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(xix)except to the extent reimbursed under Section 33(d), the Collateral Agent shall not be required to take any action under the Note Documents or any related document if taking such action (A) would subject the Collateral Agent to a tax on a residency or similar basis in any jurisdiction where it is not then subject to such a tax, or (B) would require the Collateral Agent to qualify to do business in any jurisdiction where it is not then so qualified.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For purposes of this Note, the following terms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Acquired Indebtedness</w:t>
      </w:r>
      <w:r>
        <w:rPr>
          <w:color w:val="000000"/>
        </w:rPr>
        <w:t xml:space="preserve">” </w:t>
      </w:r>
      <w:r>
        <w:rPr>
          <w:rFonts w:ascii="Times New Roman;serif" w:hAnsi="Times New Roman;serif"/>
          <w:b w:val="false"/>
          <w:color w:val="000000"/>
          <w:sz w:val="24"/>
        </w:rPr>
        <w:t>means, with respect to any specified Person: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(i)Indebtedness of any other Person existing at the time such other Person (a) is merged with or into (or consolidated or otherwise combined with the Company or any Subsidiary) or (b) became a Subsidiary of such specified Person,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(ii)Indebtedness secured by a Lien encumbering any asset acquired by such specified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in each case, including Indebtedness Incurred as consideration in, in contemplation of, or to provide all or any portion of the funds or credit support utilized to consummate, the transaction or series of related transactions pursuant to which such Subsidiary became a Subsidiary or was otherwise acquired by such Person, or such asset was acquired by such Person,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shall have the meaning ascribed to such term in Rule 405 of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Agent Fee Letter</w:t>
      </w:r>
      <w:r>
        <w:rPr>
          <w:color w:val="000000"/>
        </w:rPr>
        <w:t xml:space="preserve">” </w:t>
      </w:r>
      <w:r>
        <w:rPr>
          <w:rFonts w:ascii="Times New Roman;serif" w:hAnsi="Times New Roman;serif"/>
          <w:b w:val="false"/>
          <w:color w:val="000000"/>
          <w:sz w:val="24"/>
        </w:rPr>
        <w:t>means that certain Agent Fee Letter, dated as of the date hereof, by and between the Company and Acquiom Agency Services LLC, as may be amended from time to time.</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Approved Stock Plan</w:t>
      </w:r>
      <w:r>
        <w:rPr>
          <w:color w:val="000000"/>
        </w:rPr>
        <w:t xml:space="preserve">” </w:t>
      </w:r>
      <w:r>
        <w:rPr>
          <w:rFonts w:ascii="Times New Roman;serif" w:hAnsi="Times New Roman;serif"/>
          <w:b w:val="false"/>
          <w:color w:val="000000"/>
          <w:sz w:val="24"/>
        </w:rPr>
        <w:t>means any employee benefit plan which has been approved by the Board of Directors of the Issuer, pursuant to which the Issuer’s securities may be issued to any employee, officer or director for services provided to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Attribution Parties</w:t>
      </w:r>
      <w:r>
        <w:rPr>
          <w:color w:val="000000"/>
        </w:rPr>
        <w:t xml:space="preserve">” </w:t>
      </w:r>
      <w:r>
        <w:rPr>
          <w:rFonts w:ascii="Times New Roman;serif" w:hAnsi="Times New Roman;serif"/>
          <w:b w:val="false"/>
          <w:color w:val="000000"/>
          <w:sz w:val="24"/>
        </w:rPr>
        <w:t>means, collectively, the following Persons: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Issuer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Bloomberg</w:t>
      </w:r>
      <w:r>
        <w:rPr>
          <w:color w:val="000000"/>
        </w:rPr>
        <w:t xml:space="preserve">” </w:t>
      </w:r>
      <w:r>
        <w:rPr>
          <w:rFonts w:ascii="Times New Roman;serif" w:hAnsi="Times New Roman;serif"/>
          <w:b w:val="false"/>
          <w:color w:val="000000"/>
          <w:sz w:val="24"/>
        </w:rPr>
        <w:t>means Bloomberg Financial Markets.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other than Saturday, Sunday or other day on which commercial banks in The City of New York are authorized or required by law to remain closed.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Buyers</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Change of Control</w:t>
      </w:r>
      <w:r>
        <w:rPr>
          <w:color w:val="000000"/>
        </w:rPr>
        <w:t xml:space="preserve">” </w:t>
      </w:r>
      <w:r>
        <w:rPr>
          <w:rFonts w:ascii="Times New Roman;serif" w:hAnsi="Times New Roman;serif"/>
          <w:b w:val="false"/>
          <w:color w:val="000000"/>
          <w:sz w:val="24"/>
        </w:rPr>
        <w:t>means any Fundamental Transaction other than (i) any reorganization, recapitalization or reclassification of the Issuer Common Stock in which holders of the Company’s or the Issuer, as applicable, voting power immediately prior to such reorganization, recapitalization or reclassification continue after such reorganization, recapitalization or reclassification to hold publicly traded securities and, directly or indirectly,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 or the Issuer, as applicable. For the avoidance of doubt, none of the Holding Company Reorganization, the transactions contemplated by the CVR Term Sheet dated as of March 19, 2026 or any Post-Transaction Merger shall constitute a Change of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Closing Bid Price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Closing Sale Price</w:t>
      </w:r>
      <w:r>
        <w:rPr>
          <w:color w:val="000000"/>
        </w:rPr>
        <w:t xml:space="preserve">” </w:t>
      </w:r>
      <w:r>
        <w:rPr>
          <w:rFonts w:ascii="Times New Roman;serif" w:hAnsi="Times New Roman;serif"/>
          <w:b w:val="false"/>
          <w:color w:val="000000"/>
          <w:sz w:val="24"/>
        </w:rPr>
        <w:t xml:space="preserve">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(f/k/a OTC Pink) published by OTC Markets Group, Inc. (or a similar organization or agency succeeding to its functions of reporting prices). If the Closing Bid Price or the Closing Sale Price cannot be calculated for a security on a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particular date on any of the foregoing bases, the Closing Bid Price or the Closing Sale Price, as the case may be, of such security on such date shall be the fair market value as mutually determined by the Issuer and the Holder. If the Issuer and the Holder are unable to agree upon the fair market value of such security, then such dispute shall be resolved pursuant to Section 24. All such determinations to be appropriately adjusted for any stock dividend, stock split, stock combination, reclassification or other similar transaction relating to the Issuer Common Stock during the applicable calculation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Closing Date</w:t>
      </w:r>
      <w:r>
        <w:rPr>
          <w:color w:val="000000"/>
        </w:rPr>
        <w:t xml:space="preserve">” </w:t>
      </w:r>
      <w:r>
        <w:rPr>
          <w:rFonts w:ascii="Times New Roman;serif" w:hAnsi="Times New Roman;serif"/>
          <w:b w:val="false"/>
          <w:color w:val="000000"/>
          <w:sz w:val="24"/>
        </w:rPr>
        <w:t>shall have the meaning set forth in the Securities Purchase Agreement, which date is any date the Company and the Issuer initially issued Notes pursuant to the terms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Collateral Agent</w:t>
      </w:r>
      <w:r>
        <w:rPr>
          <w:color w:val="000000"/>
        </w:rPr>
        <w:t xml:space="preserve">” </w:t>
      </w:r>
      <w:r>
        <w:rPr>
          <w:rFonts w:ascii="Times New Roman;serif" w:hAnsi="Times New Roman;serif"/>
          <w:b w:val="false"/>
          <w:color w:val="000000"/>
          <w:sz w:val="24"/>
        </w:rPr>
        <w:t>means Acquiom Agency Services LLC, in its capacity as collateral agent for the holders of the Notes and the other Secured Parties (as defined in the Security Agreement), together with its successors and permitted assigns in such capacity.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Company Common Stock</w:t>
      </w:r>
      <w:r>
        <w:rPr>
          <w:color w:val="000000"/>
        </w:rPr>
        <w:t xml:space="preserve">” </w:t>
      </w:r>
      <w:r>
        <w:rPr>
          <w:rFonts w:ascii="Times New Roman;serif" w:hAnsi="Times New Roman;serif"/>
          <w:b w:val="false"/>
          <w:color w:val="000000"/>
          <w:sz w:val="24"/>
        </w:rPr>
        <w:t>means (i) the Company’s common Stock, and (ii) any capital stock into which such Company Common Stock shall have been changed or any capital stock resulting from a reorganization, recapitalization or reclassification of such Company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color w:val="000000"/>
        </w:rPr>
        <w:t>“</w:t>
      </w:r>
      <w:r>
        <w:rPr>
          <w:rFonts w:ascii="Times New Roman;serif" w:hAnsi="Times New Roman;serif"/>
          <w:b/>
          <w:color w:val="000000"/>
          <w:sz w:val="24"/>
        </w:rPr>
        <w:t>Company Fundamental Transaction</w:t>
      </w:r>
      <w:r>
        <w:rPr>
          <w:color w:val="000000"/>
        </w:rPr>
        <w:t xml:space="preserve">” </w:t>
      </w:r>
      <w:r>
        <w:rPr>
          <w:rFonts w:ascii="Times New Roman;serif" w:hAnsi="Times New Roman;serif"/>
          <w:b w:val="false"/>
          <w:color w:val="000000"/>
          <w:sz w:val="24"/>
        </w:rPr>
        <w:t>means a Fundamental Transaction, directly or indirectly, related to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color w:val="000000"/>
        </w:rPr>
        <w:t>“</w:t>
      </w:r>
      <w:r>
        <w:rPr>
          <w:rFonts w:ascii="Times New Roman;serif" w:hAnsi="Times New Roman;serif"/>
          <w:b/>
          <w:color w:val="000000"/>
          <w:sz w:val="24"/>
        </w:rPr>
        <w:t>Contingent Obligation</w:t>
      </w:r>
      <w:r>
        <w:rPr>
          <w:color w:val="000000"/>
        </w:rPr>
        <w:t xml:space="preserve">” </w:t>
      </w:r>
      <w:r>
        <w:rPr>
          <w:rFonts w:ascii="Times New Roman;serif" w:hAnsi="Times New Roman;serif"/>
          <w:b w:val="false"/>
          <w:color w:val="000000"/>
          <w:sz w:val="24"/>
        </w:rPr>
        <w:t>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color w:val="000000"/>
        </w:rPr>
        <w:t>“</w:t>
      </w:r>
      <w:r>
        <w:rPr>
          <w:rFonts w:ascii="Times New Roman;serif" w:hAnsi="Times New Roman;serif"/>
          <w:b/>
          <w:color w:val="000000"/>
          <w:sz w:val="24"/>
        </w:rPr>
        <w:t>Convertible Securities</w:t>
      </w:r>
      <w:r>
        <w:rPr>
          <w:color w:val="000000"/>
        </w:rPr>
        <w:t xml:space="preserve">” </w:t>
      </w:r>
      <w:r>
        <w:rPr>
          <w:rFonts w:ascii="Times New Roman;serif" w:hAnsi="Times New Roman;serif"/>
          <w:b w:val="false"/>
          <w:color w:val="000000"/>
          <w:sz w:val="24"/>
        </w:rPr>
        <w:t>means any stock or securities (other than Options) directly or indirectly convertible into or exercisable or exchangeable for shares of Issuer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color w:val="000000"/>
        </w:rPr>
        <w:t>“</w:t>
      </w:r>
      <w:r>
        <w:rPr>
          <w:rFonts w:ascii="Times New Roman;serif" w:hAnsi="Times New Roman;serif"/>
          <w:b/>
          <w:color w:val="000000"/>
          <w:sz w:val="24"/>
        </w:rPr>
        <w:t>CVR Closing</w:t>
      </w:r>
      <w:r>
        <w:rPr>
          <w:color w:val="000000"/>
        </w:rPr>
        <w:t xml:space="preserve">” </w:t>
      </w:r>
      <w:r>
        <w:rPr>
          <w:rFonts w:ascii="Times New Roman;serif" w:hAnsi="Times New Roman;serif"/>
          <w:b w:val="false"/>
          <w:color w:val="000000"/>
          <w:sz w:val="24"/>
        </w:rPr>
        <w:t>means the closing of the transactions contemplated by the CVR Term Sheet dated as of March 19, 2026.</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color w:val="000000"/>
        </w:rPr>
        <w:t>“</w:t>
      </w:r>
      <w:r>
        <w:rPr>
          <w:rFonts w:ascii="Times New Roman;serif" w:hAnsi="Times New Roman;serif"/>
          <w:b/>
          <w:color w:val="000000"/>
          <w:sz w:val="24"/>
        </w:rPr>
        <w:t>Eligible Market</w:t>
      </w:r>
      <w:r>
        <w:rPr>
          <w:color w:val="000000"/>
        </w:rPr>
        <w:t xml:space="preserve">” </w:t>
      </w:r>
      <w:r>
        <w:rPr>
          <w:rFonts w:ascii="Times New Roman;serif" w:hAnsi="Times New Roman;serif"/>
          <w:b w:val="false"/>
          <w:color w:val="000000"/>
          <w:sz w:val="24"/>
        </w:rPr>
        <w:t>means the Principal Market, the New York Stock Exchange, The NASDAQ Global Market, The NASDAQ Global Select Market, or the NYSE American.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color w:val="000000"/>
        </w:rPr>
        <w:t>“</w:t>
      </w:r>
      <w:r>
        <w:rPr>
          <w:rFonts w:ascii="Times New Roman;serif" w:hAnsi="Times New Roman;serif"/>
          <w:b/>
          <w:color w:val="000000"/>
          <w:sz w:val="24"/>
        </w:rPr>
        <w:t>Equity Interests</w:t>
      </w:r>
      <w:r>
        <w:rPr>
          <w:color w:val="000000"/>
        </w:rPr>
        <w:t xml:space="preserve">” </w:t>
      </w:r>
      <w:r>
        <w:rPr>
          <w:rFonts w:ascii="Times New Roman;serif" w:hAnsi="Times New Roman;serif"/>
          <w:b w:val="false"/>
          <w:color w:val="000000"/>
          <w:sz w:val="24"/>
        </w:rPr>
        <w:t>means (a) all shares of capital stock (whether denominated as common capital stock or preferred capital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color w:val="000000"/>
        </w:rPr>
        <w:t>“</w:t>
      </w:r>
      <w:r>
        <w:rPr>
          <w:rFonts w:ascii="Times New Roman;serif" w:hAnsi="Times New Roman;serif"/>
          <w:b/>
          <w:color w:val="000000"/>
          <w:sz w:val="24"/>
        </w:rPr>
        <w:t>Exchange / Conversion Price</w:t>
      </w:r>
      <w:r>
        <w:rPr>
          <w:color w:val="000000"/>
        </w:rPr>
        <w:t xml:space="preserve">” </w:t>
      </w:r>
      <w:r>
        <w:rPr>
          <w:rFonts w:ascii="Times New Roman;serif" w:hAnsi="Times New Roman;serif"/>
          <w:b w:val="false"/>
          <w:color w:val="000000"/>
          <w:sz w:val="24"/>
        </w:rPr>
        <w:t>means, as of any Exchange Date or other date of determination, $0.6261 per share, subject to adjustment as provided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color w:val="000000"/>
        </w:rPr>
        <w:t>“</w:t>
      </w:r>
      <w:r>
        <w:rPr>
          <w:rFonts w:ascii="Times New Roman;serif" w:hAnsi="Times New Roman;serif"/>
          <w:b/>
          <w:color w:val="000000"/>
          <w:sz w:val="24"/>
        </w:rPr>
        <w:t>Exchange Shares</w:t>
      </w:r>
      <w:r>
        <w:rPr>
          <w:color w:val="000000"/>
        </w:rPr>
        <w:t xml:space="preserve">” </w:t>
      </w:r>
      <w:r>
        <w:rPr>
          <w:rFonts w:ascii="Times New Roman;serif" w:hAnsi="Times New Roman;serif"/>
          <w:b w:val="false"/>
          <w:color w:val="000000"/>
          <w:sz w:val="24"/>
        </w:rPr>
        <w:t>means shares of Issuer Common Stock issuable by the Issuer pursuant to the terms of any of the Notes, including any related Interest so exchanged or redeemed, without regard to any limitation on exchange set forth in the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color w:val="000000"/>
        </w:rPr>
        <w:t>“</w:t>
      </w:r>
      <w:r>
        <w:rPr>
          <w:rFonts w:ascii="Times New Roman;serif" w:hAnsi="Times New Roman;serif"/>
          <w:b/>
          <w:color w:val="000000"/>
          <w:sz w:val="24"/>
        </w:rPr>
        <w:t>Excluded Securities</w:t>
      </w:r>
      <w:r>
        <w:rPr>
          <w:color w:val="000000"/>
        </w:rPr>
        <w:t xml:space="preserve">” </w:t>
      </w:r>
      <w:r>
        <w:rPr>
          <w:rFonts w:ascii="Times New Roman;serif" w:hAnsi="Times New Roman;serif"/>
          <w:b w:val="false"/>
          <w:color w:val="000000"/>
          <w:sz w:val="24"/>
        </w:rPr>
        <w:t xml:space="preserve">means any shares of Issuer Common Stock issued or issuable: (i) in connection with any Approved Stock Plan; (ii) pursuant to the terms of the Notes or the Securities Purchase Agreement (excluding any securities of the Company or the Issuer issued or issuable pursuant to any subsequent placements or financing rounds with any investors other than the Lead Investor pursuant to Section 4(o)(iii) of the Securities Purchase Agreement); (iii) at or above the Applicable Price, pursuant to the terms of the Issuer’s Sales Agreement with Leerink Partners LLC dated March 20, 2025; and (iv) upon exchange, conversion or exercise of any Options or Convertible Securities which are outstanding on the day immediately preceding the Subscription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terms of such Options or Convertible Securities are not amended, modified or changed on or after the Subscription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color w:val="000000"/>
        </w:rPr>
        <w:t>“</w:t>
      </w:r>
      <w:r>
        <w:rPr>
          <w:rFonts w:ascii="Times New Roman;serif" w:hAnsi="Times New Roman;serif"/>
          <w:b/>
          <w:color w:val="000000"/>
          <w:sz w:val="24"/>
        </w:rPr>
        <w:t>First Amendment to Sublease Agreement</w:t>
      </w:r>
      <w:r>
        <w:rPr>
          <w:color w:val="000000"/>
        </w:rPr>
        <w:t xml:space="preserve">” </w:t>
      </w:r>
      <w:r>
        <w:rPr>
          <w:rFonts w:ascii="Times New Roman;serif" w:hAnsi="Times New Roman;serif"/>
          <w:b w:val="false"/>
          <w:color w:val="000000"/>
          <w:sz w:val="24"/>
        </w:rPr>
        <w:t>means that First Amendment to Sublease Agreement, dated as of September 1, 2025, made by and between Senti Biosciences, Inc. and GeneFab, LLC.</w:t>
      </w:r>
    </w:p>
    <w:p>
      <w:pPr>
        <w:pStyle w:val="TextBody"/>
        <w:bidi w:val="0"/>
        <w:spacing w:lineRule="auto" w:line="240" w:before="0" w:after="240"/>
        <w:ind w:left="0" w:right="0" w:firstLine="1440"/>
        <w:jc w:val="both"/>
        <w:rPr/>
      </w:pPr>
      <w:r>
        <w:rPr>
          <w:rFonts w:ascii="Times New Roman;serif" w:hAnsi="Times New Roman;serif"/>
          <w:b w:val="false"/>
          <w:color w:val="000000"/>
          <w:sz w:val="24"/>
        </w:rPr>
        <w:t>(z)</w:t>
      </w:r>
      <w:r>
        <w:rPr>
          <w:color w:val="000000"/>
        </w:rPr>
        <w:t>“</w:t>
      </w:r>
      <w:r>
        <w:rPr>
          <w:rFonts w:ascii="Times New Roman;serif" w:hAnsi="Times New Roman;serif"/>
          <w:b/>
          <w:color w:val="000000"/>
          <w:sz w:val="24"/>
        </w:rPr>
        <w:t>Fundamental Transaction</w:t>
      </w:r>
      <w:r>
        <w:rPr>
          <w:color w:val="000000"/>
        </w:rPr>
        <w:t xml:space="preserve">” </w:t>
      </w:r>
      <w:r>
        <w:rPr>
          <w:rFonts w:ascii="Times New Roman;serif" w:hAnsi="Times New Roman;serif"/>
          <w:b w:val="false"/>
          <w:color w:val="000000"/>
          <w:sz w:val="24"/>
        </w:rPr>
        <w:t xml:space="preserve">means (A) that the Company or the Issuer shall, directly or indirectly, including through Subsidiaries, Affiliates or otherwise, in one or more related transactions, (i) consolidate or merge with or into (whether or not the Company or the Issuer is the surviving corporation) another Subject Entity, or (ii) sell, assign, transfer, convey or otherwise dispose of all or substantially all of the properties or assets of the Company or the Issuer or any of their respective “significant subsidiaries” (as defined in Rule 1-02 of Regulation S-X) to one or more Subject Entities, or (iii) make, or allow one or more Subject Entities to make, or allow the Company or the Issuer to be subject to or have the Issuer Common Stock be subject to or party to one or more Subject Entities making, a purchase, tender or exchange offer that is accepted by the holders of at least either (x) 50% of the outstanding shares of Issuer Common Stock, (y) 50% of the outstanding shares of Issuer Common Stock calculated as if any shares of Issuer Common Stock held by all Subject Entities making or party to, or Affiliated with any Subject Entities making or party to, such purchase, tender or exchange offer were not outstanding; or (z) such number of shares of Issuer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Issuer Common Stock, or (iv) consummate a stock purchase agreement or other business combination (including, without limitation, a reorganization, recapitalization, spin-off or scheme of arrangement) with one or more Subject Entities whereby such Subject Entities, individually or in the aggregate, acquire, either (x) at least 50% of the outstanding shares of Issuer Common Stock, (y) at least 50% of the outstanding shares of Issuer Common Stock calculated as if any shares of Issuer Common Stock held by all the Subject Entities making or party to, or Affiliated with any Subject Entity making or party to, such stock purchase agreement or other business combination were not outstanding; or (z) such number of shares of Issuer Common Stock such that the Subject Entities become collectively the beneficial owners (as defined in Rule 13d-3 under the Exchange Act) of at least 50% of the outstanding shares of Issuer Common Stock, or (v) reorganize, recapitalize or reclassify the Issuer Common Stock, (B) that the Company or the Issuer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exchange, reduction in outstanding shares of Issuer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Issuer Common Stock, (y) at least 50% of the aggregate ordinary voting power represented by issued and outstanding Issuer Common Stock not held by all such Subject Entities as of the Subscription Date calculated as if any shares of Issuer Common Stock held by all such Subject Entities were not outstanding, or (z) a percentage of the aggregate ordinary voting power represented by issued and outstanding shares of Issuer Common Stock or other equity securities of the Issuer sufficient to allow such Subject Entities to effect a statutory short form merger or other transaction requiring other stockholders of the Issuer to surrender their shares of Issuer Common Stock without approval of the stockholders of the Issuer, (C) that the Issuer shall, directly or indirectly, through Subsidiaries or otherwise, cease to be the Company’s managing member or cease to control the Company or (D) that the Company or the Issuer shall,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provided that, none of the Holding Company Reorganization, the transactions contemplated by the CVR Term Sheet dated as of March 19, 2026, or any Post-Transaction Merger shall constitute Fundamental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(aa)</w:t>
      </w: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means United States generally accepted accounting principles, consistently applied during the periods involved as in effect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(ab)</w:t>
      </w:r>
      <w:r>
        <w:rPr>
          <w:color w:val="000000"/>
        </w:rPr>
        <w:t xml:space="preserve"> “</w:t>
      </w:r>
      <w:r>
        <w:rPr>
          <w:rFonts w:ascii="Times New Roman;serif" w:hAnsi="Times New Roman;serif"/>
          <w:b/>
          <w:color w:val="000000"/>
          <w:sz w:val="24"/>
        </w:rPr>
        <w:t>Group</w:t>
      </w:r>
      <w:r>
        <w:rPr>
          <w:color w:val="000000"/>
        </w:rPr>
        <w:t xml:space="preserve">” </w:t>
      </w:r>
      <w:r>
        <w:rPr>
          <w:rFonts w:ascii="Times New Roman;serif" w:hAnsi="Times New Roman;serif"/>
          <w:b w:val="false"/>
          <w:color w:val="000000"/>
          <w:sz w:val="24"/>
        </w:rPr>
        <w:t>means a “group” as that term is used in Section 13(d) of the Exchange Act and as defined in Rule 13d-5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(ac)</w:t>
      </w:r>
      <w:r>
        <w:rPr>
          <w:color w:val="000000"/>
        </w:rPr>
        <w:t>“</w:t>
      </w:r>
      <w:r>
        <w:rPr>
          <w:rFonts w:ascii="Times New Roman;serif" w:hAnsi="Times New Roman;serif"/>
          <w:b/>
          <w:color w:val="000000"/>
          <w:sz w:val="24"/>
        </w:rPr>
        <w:t>Holding Company Reorganization</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(ad)</w:t>
      </w:r>
      <w:r>
        <w:rPr>
          <w:color w:val="000000"/>
        </w:rPr>
        <w:t>“</w:t>
      </w:r>
      <w:r>
        <w:rPr>
          <w:rFonts w:ascii="Times New Roman;serif" w:hAnsi="Times New Roman;serif"/>
          <w:b/>
          <w:color w:val="000000"/>
          <w:sz w:val="24"/>
        </w:rPr>
        <w:t>Incur</w:t>
      </w:r>
      <w:r>
        <w:rPr>
          <w:color w:val="000000"/>
        </w:rPr>
        <w:t xml:space="preserve">” </w:t>
      </w:r>
      <w:r>
        <w:rPr>
          <w:rFonts w:ascii="Times New Roman;serif" w:hAnsi="Times New Roman;serif"/>
          <w:b w:val="false"/>
          <w:color w:val="000000"/>
          <w:sz w:val="24"/>
        </w:rPr>
        <w:t>(including, with correlative meaning, the term “</w:t>
      </w:r>
      <w:r>
        <w:rPr>
          <w:rFonts w:ascii="Times New Roman;serif" w:hAnsi="Times New Roman;serif"/>
          <w:b/>
          <w:color w:val="000000"/>
          <w:sz w:val="24"/>
        </w:rPr>
        <w:t>Incurrence</w:t>
      </w:r>
      <w:r>
        <w:rPr>
          <w:color w:val="000000"/>
        </w:rPr>
        <w:t>”</w:t>
      </w:r>
      <w:r>
        <w:rPr>
          <w:rFonts w:ascii="Times New Roman;serif" w:hAnsi="Times New Roman;serif"/>
          <w:b w:val="false"/>
          <w:color w:val="000000"/>
          <w:sz w:val="24"/>
        </w:rPr>
        <w:t xml:space="preserve">) means issue, assume, guarantee, incur or otherwise become liable for;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Indebtedness or Equity Interests of a Person existing at the time such Person becomes a Subsidiary (whether by merger, consolidation, acquisition or otherwise) shall be deemed to be Incurred by such Person at the time it becomes a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(ae)</w:t>
      </w: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 xml:space="preserve">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is classified as a capital lease, (vii) all indebtedness referred to in clauses (i) through (vi) above secured by (or for which the holder of such Indebtedness has an existing right, contingent or otherwise, to be secured by)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(af)</w:t>
      </w:r>
      <w:r>
        <w:rPr>
          <w:color w:val="000000"/>
        </w:rPr>
        <w:t>“</w:t>
      </w:r>
      <w:r>
        <w:rPr>
          <w:rFonts w:ascii="Times New Roman;serif" w:hAnsi="Times New Roman;serif"/>
          <w:b/>
          <w:color w:val="000000"/>
          <w:sz w:val="24"/>
        </w:rPr>
        <w:t>Initial Closing Date</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(ag)</w:t>
      </w:r>
      <w:r>
        <w:rPr>
          <w:color w:val="000000"/>
        </w:rPr>
        <w:t xml:space="preserve"> “</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has the meaning ascribed to such term in the Security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(ah)</w:t>
      </w:r>
      <w:r>
        <w:rPr>
          <w:color w:val="000000"/>
        </w:rPr>
        <w:t>“</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means (i) prior to the completion of the Holding Company Reorganization, Senti Biosciences, Inc., a Delaware corporation and (ii) from and after the completion of the Holding Company Reorganization, Senti Biosciences Holdings, Inc., a Delaware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(ai)</w:t>
      </w:r>
      <w:r>
        <w:rPr>
          <w:color w:val="000000"/>
        </w:rPr>
        <w:t>“</w:t>
      </w:r>
      <w:r>
        <w:rPr>
          <w:rFonts w:ascii="Times New Roman;serif" w:hAnsi="Times New Roman;serif"/>
          <w:b/>
          <w:color w:val="000000"/>
          <w:sz w:val="24"/>
        </w:rPr>
        <w:t>Issuer Common Stock</w:t>
      </w:r>
      <w:r>
        <w:rPr>
          <w:color w:val="000000"/>
        </w:rPr>
        <w:t xml:space="preserve">” </w:t>
      </w:r>
      <w:r>
        <w:rPr>
          <w:rFonts w:ascii="Times New Roman;serif" w:hAnsi="Times New Roman;serif"/>
          <w:b w:val="false"/>
          <w:color w:val="000000"/>
          <w:sz w:val="24"/>
        </w:rPr>
        <w:t>means (i) the Issuer’s shares of common stock, par value $0.0001 per share, and (ii) any capital stock into which such Issuer Common Stock shall have been changed or any capital stock resulting from a reorganization, recapitalization or reclassification of such Issuer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(aj)</w:t>
      </w:r>
      <w:r>
        <w:rPr>
          <w:color w:val="000000"/>
        </w:rPr>
        <w:t>“</w:t>
      </w:r>
      <w:r>
        <w:rPr>
          <w:rFonts w:ascii="Times New Roman;serif" w:hAnsi="Times New Roman;serif"/>
          <w:b/>
          <w:color w:val="000000"/>
          <w:sz w:val="24"/>
        </w:rPr>
        <w:t>Issuer Fundamental Transaction</w:t>
      </w:r>
      <w:r>
        <w:rPr>
          <w:color w:val="000000"/>
        </w:rPr>
        <w:t xml:space="preserve">” </w:t>
      </w:r>
      <w:r>
        <w:rPr>
          <w:rFonts w:ascii="Times New Roman;serif" w:hAnsi="Times New Roman;serif"/>
          <w:b w:val="false"/>
          <w:color w:val="000000"/>
          <w:sz w:val="24"/>
        </w:rPr>
        <w:t>means a Fundamental Transaction, directly or indirectly, related to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(ak)</w:t>
      </w:r>
      <w:r>
        <w:rPr>
          <w:color w:val="000000"/>
        </w:rPr>
        <w:t xml:space="preserve"> “</w:t>
      </w:r>
      <w:r>
        <w:rPr>
          <w:rFonts w:ascii="Times New Roman;serif" w:hAnsi="Times New Roman;serif"/>
          <w:b/>
          <w:color w:val="000000"/>
          <w:sz w:val="24"/>
        </w:rPr>
        <w:t>Lead Investor</w:t>
      </w:r>
      <w:r>
        <w:rPr>
          <w:color w:val="000000"/>
        </w:rPr>
        <w:t xml:space="preserve">” </w:t>
      </w:r>
      <w:r>
        <w:rPr>
          <w:rFonts w:ascii="Times New Roman;serif" w:hAnsi="Times New Roman;serif"/>
          <w:b w:val="false"/>
          <w:color w:val="000000"/>
          <w:sz w:val="24"/>
        </w:rPr>
        <w:t>means CPIF II-7 Limited, an exempted company incorporated under the laws of Cayman Islands, or any designee that is an Affiliate of Celadon Partners, LLC.</w:t>
      </w:r>
    </w:p>
    <w:p>
      <w:pPr>
        <w:pStyle w:val="TextBody"/>
        <w:bidi w:val="0"/>
        <w:spacing w:lineRule="auto" w:line="240" w:before="0" w:after="240"/>
        <w:ind w:left="0" w:right="0" w:firstLine="1440"/>
        <w:jc w:val="both"/>
        <w:rPr/>
      </w:pPr>
      <w:r>
        <w:rPr>
          <w:rFonts w:ascii="Times New Roman;serif" w:hAnsi="Times New Roman;serif"/>
          <w:b w:val="false"/>
          <w:color w:val="000000"/>
          <w:sz w:val="24"/>
        </w:rPr>
        <w:t>(al)</w:t>
      </w:r>
      <w:r>
        <w:rPr>
          <w:color w:val="000000"/>
        </w:rPr>
        <w:t>“</w:t>
      </w:r>
      <w:r>
        <w:rPr>
          <w:rFonts w:ascii="Times New Roman;serif" w:hAnsi="Times New Roman;serif"/>
          <w:b/>
          <w:color w:val="000000"/>
          <w:sz w:val="24"/>
        </w:rPr>
        <w:t>Letter Agreement</w:t>
      </w:r>
      <w:r>
        <w:rPr>
          <w:color w:val="000000"/>
        </w:rPr>
        <w:t xml:space="preserve">” </w:t>
      </w:r>
      <w:r>
        <w:rPr>
          <w:rFonts w:ascii="Times New Roman;serif" w:hAnsi="Times New Roman;serif"/>
          <w:b w:val="false"/>
          <w:color w:val="000000"/>
          <w:sz w:val="24"/>
        </w:rPr>
        <w:t>means that certain Letter Agreement delivered to Senti Biosciences, Inc. on September 1, 2025 from GeneFab, LLC.</w:t>
      </w:r>
    </w:p>
    <w:p>
      <w:pPr>
        <w:pStyle w:val="TextBody"/>
        <w:bidi w:val="0"/>
        <w:spacing w:lineRule="auto" w:line="240" w:before="0" w:after="240"/>
        <w:ind w:left="0" w:right="0" w:firstLine="1440"/>
        <w:jc w:val="both"/>
        <w:rPr/>
      </w:pPr>
      <w:r>
        <w:rPr>
          <w:rFonts w:ascii="Times New Roman;serif" w:hAnsi="Times New Roman;serif"/>
          <w:b w:val="false"/>
          <w:color w:val="000000"/>
          <w:sz w:val="24"/>
        </w:rPr>
        <w:t>(am)</w:t>
      </w: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(an)</w:t>
      </w:r>
      <w:r>
        <w:rPr>
          <w:color w:val="000000"/>
        </w:rPr>
        <w:t>“</w:t>
      </w:r>
      <w:r>
        <w:rPr>
          <w:rFonts w:ascii="Times New Roman;serif" w:hAnsi="Times New Roman;serif"/>
          <w:b/>
          <w:color w:val="000000"/>
          <w:sz w:val="24"/>
        </w:rPr>
        <w:t>Maximum Percentage</w:t>
      </w:r>
      <w:r>
        <w:rPr>
          <w:color w:val="000000"/>
        </w:rPr>
        <w:t xml:space="preserve">” </w:t>
      </w:r>
      <w:r>
        <w:rPr>
          <w:rFonts w:ascii="Times New Roman;serif" w:hAnsi="Times New Roman;serif"/>
          <w:b w:val="false"/>
          <w:color w:val="000000"/>
          <w:sz w:val="24"/>
        </w:rPr>
        <w:t>shall initially be set at the discretion of the Holder between 0% and 19.99%.</w:t>
      </w:r>
    </w:p>
    <w:p>
      <w:pPr>
        <w:pStyle w:val="TextBody"/>
        <w:bidi w:val="0"/>
        <w:spacing w:lineRule="auto" w:line="240" w:before="0" w:after="240"/>
        <w:ind w:left="0" w:right="0" w:firstLine="1440"/>
        <w:jc w:val="both"/>
        <w:rPr/>
      </w:pPr>
      <w:r>
        <w:rPr>
          <w:rFonts w:ascii="Times New Roman;serif" w:hAnsi="Times New Roman;serif"/>
          <w:b w:val="false"/>
          <w:color w:val="000000"/>
          <w:sz w:val="24"/>
        </w:rPr>
        <w:t>(ao)</w:t>
      </w:r>
      <w:r>
        <w:rPr>
          <w:color w:val="000000"/>
        </w:rPr>
        <w:t>“</w:t>
      </w:r>
      <w:r>
        <w:rPr>
          <w:rFonts w:ascii="Times New Roman;serif" w:hAnsi="Times New Roman;serif"/>
          <w:b/>
          <w:color w:val="000000"/>
          <w:sz w:val="24"/>
        </w:rPr>
        <w:t>Note Documents</w:t>
      </w:r>
      <w:r>
        <w:rPr>
          <w:color w:val="000000"/>
        </w:rPr>
        <w:t xml:space="preserve">” </w:t>
      </w:r>
      <w:r>
        <w:rPr>
          <w:rFonts w:ascii="Times New Roman;serif" w:hAnsi="Times New Roman;serif"/>
          <w:b w:val="false"/>
          <w:color w:val="000000"/>
          <w:sz w:val="24"/>
        </w:rPr>
        <w:t>means the (i) Notes, (ii) the Securities Purchase Agreement, (iii) the Security Agreement, (iv) each other agreement, instrument or document that creates or purports to create a lien or security interest in favor of the Collateral Agent for the benefit of the Secured Parties and all financing statements (or comparable documents now or hereafter filed in accordance with the Uniform Commercial Code or comparable Law) against the Company or any Guarantor as debtor in favor of the Collateral Agent for the benefit of the Secured Parties, as secured party, as any of the foregoing may be amended, restated, supplemented or modified from time to time, and (v) any other agreement, document or instrument entered into in connection with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(ap)</w:t>
      </w:r>
      <w:r>
        <w:rPr>
          <w:color w:val="000000"/>
        </w:rPr>
        <w:t>“</w:t>
      </w:r>
      <w:r>
        <w:rPr>
          <w:rFonts w:ascii="Times New Roman;serif" w:hAnsi="Times New Roman;serif"/>
          <w:b/>
          <w:color w:val="000000"/>
          <w:sz w:val="24"/>
        </w:rPr>
        <w:t>Option Value</w:t>
      </w:r>
      <w:r>
        <w:rPr>
          <w:color w:val="000000"/>
        </w:rPr>
        <w:t xml:space="preserve">” </w:t>
      </w:r>
      <w:r>
        <w:rPr>
          <w:rFonts w:ascii="Times New Roman;serif" w:hAnsi="Times New Roman;serif"/>
          <w:b w:val="false"/>
          <w:color w:val="000000"/>
          <w:sz w:val="24"/>
        </w:rPr>
        <w:t xml:space="preserve">means the value of an Option based on the Black and Scholes Option Pricing model obtained from the “OV” function on Bloomberg determined as of (A) the Trading Day prior to the public announcement of the applicable Option if the issuance of such Option is publicly announced or (B) the Trading Day immediately following the issuance of the applicable Option if the issuance of such Option is not publicly announced, for pricing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purposes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Issuer during the period beginning on the earlier of (A) the Trading Day prior to the public announcement of the applicable Option if the issuance of such Option is publicly announced and (B) the Trading Day prior to the execution of such definitive documentation, if any, and ending on the Trading Day immediately following the issuance of the applicable Option, (iv) a zero cost of borrow and (v) a 360 day annualization factor.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(aq)</w:t>
      </w:r>
      <w:r>
        <w:rPr>
          <w:color w:val="000000"/>
        </w:rPr>
        <w:t>“</w:t>
      </w:r>
      <w:r>
        <w:rPr>
          <w:rFonts w:ascii="Times New Roman;serif" w:hAnsi="Times New Roman;serif"/>
          <w:b/>
          <w:color w:val="000000"/>
          <w:sz w:val="24"/>
        </w:rPr>
        <w:t>Options</w:t>
      </w:r>
      <w:r>
        <w:rPr>
          <w:color w:val="000000"/>
        </w:rPr>
        <w:t xml:space="preserve">” </w:t>
      </w:r>
      <w:r>
        <w:rPr>
          <w:rFonts w:ascii="Times New Roman;serif" w:hAnsi="Times New Roman;serif"/>
          <w:b w:val="false"/>
          <w:color w:val="000000"/>
          <w:sz w:val="24"/>
        </w:rPr>
        <w:t>means any rights, warrants or options to subscribe for or purchase (i) shares of Issuer Common Stock or (ii) Convertible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(ar)</w:t>
      </w:r>
      <w:r>
        <w:rPr>
          <w:color w:val="000000"/>
        </w:rPr>
        <w:t>“</w:t>
      </w:r>
      <w:r>
        <w:rPr>
          <w:rFonts w:ascii="Times New Roman;serif" w:hAnsi="Times New Roman;serif"/>
          <w:b/>
          <w:color w:val="000000"/>
          <w:sz w:val="24"/>
        </w:rPr>
        <w:t>Outstanding Amount</w:t>
      </w:r>
      <w:r>
        <w:rPr>
          <w:color w:val="000000"/>
        </w:rPr>
        <w:t xml:space="preserve">” </w:t>
      </w:r>
      <w:r>
        <w:rPr>
          <w:rFonts w:ascii="Times New Roman;serif" w:hAnsi="Times New Roman;serif"/>
          <w:b w:val="false"/>
          <w:color w:val="000000"/>
          <w:sz w:val="24"/>
        </w:rPr>
        <w:t>means the sum of (A) the portion of the Principal to be exchanged, converted, redeemed or otherwise with respect to which this determination is being made, and (B) accrued and unpaid Interest, if any, with respect to such Principal.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(as)</w:t>
      </w:r>
      <w:r>
        <w:rPr>
          <w:color w:val="000000"/>
        </w:rPr>
        <w:t>“</w:t>
      </w:r>
      <w:r>
        <w:rPr>
          <w:rFonts w:ascii="Times New Roman;serif" w:hAnsi="Times New Roman;serif"/>
          <w:b/>
          <w:color w:val="000000"/>
          <w:sz w:val="24"/>
        </w:rPr>
        <w:t>Permitted Indebtedness</w:t>
      </w:r>
      <w:r>
        <w:rPr>
          <w:color w:val="000000"/>
        </w:rPr>
        <w:t xml:space="preserve">” </w:t>
      </w:r>
      <w:r>
        <w:rPr>
          <w:rFonts w:ascii="Times New Roman;serif" w:hAnsi="Times New Roman;serif"/>
          <w:b w:val="false"/>
          <w:color w:val="000000"/>
          <w:sz w:val="24"/>
        </w:rPr>
        <w:t>means (i) Indebtedness evidenced by this Note and the Other Notes, (ii) trade payables Incurred in the ordinary course of business and consistent with past practice and (iii) Indebtedness solely to the extent secured by Permitted Liens described in clauses (iv) of the definition of Permitted Liens and which Indebtedness does not provide at any time for the redemption, payment, prepayment, repayment, repurchase or defeasance, directly or indirectly, of any principal or premium, if any, thereon until one hundred eighty one (181) days after the Maturity Date or later.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(at)</w:t>
      </w:r>
      <w:r>
        <w:rPr>
          <w:color w:val="000000"/>
        </w:rPr>
        <w:t>“</w:t>
      </w:r>
      <w:r>
        <w:rPr>
          <w:rFonts w:ascii="Times New Roman;serif" w:hAnsi="Times New Roman;serif"/>
          <w:b/>
          <w:color w:val="000000"/>
          <w:sz w:val="24"/>
        </w:rPr>
        <w:t>Permitted Liens</w:t>
      </w:r>
      <w:r>
        <w:rPr>
          <w:color w:val="000000"/>
        </w:rPr>
        <w:t xml:space="preserve">” </w:t>
      </w:r>
      <w:r>
        <w:rPr>
          <w:rFonts w:ascii="Times New Roman;serif" w:hAnsi="Times New Roman;serif"/>
          <w:b w:val="false"/>
          <w:color w:val="000000"/>
          <w:sz w:val="24"/>
        </w:rPr>
        <w:t>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granted to others in the ordinary course of the Company’s business, not interfering in any material respect with the business of the Company and its Subsidiaries taken as a whole, (vii) Liens in favor of customs and revenue authorities arising as a matter of law to secure payments of custom duties in connection with the importation of goods, (viii) Liens arising from judgments, decrees or attachments in circumstances not constituting an Event of Default under Section 5(a)(xii) and (ix) Liens securing the Notes pursuant to the Security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(au)</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a limited liability company, a partnership, a joint venture, a corporation, a trust, an unincorporated organization, any other entity and any government or any department or agency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(av)</w:t>
      </w:r>
      <w:r>
        <w:rPr>
          <w:color w:val="000000"/>
        </w:rPr>
        <w:t>“</w:t>
      </w:r>
      <w:r>
        <w:rPr>
          <w:rFonts w:ascii="Times New Roman;serif" w:hAnsi="Times New Roman;serif"/>
          <w:b/>
          <w:color w:val="000000"/>
          <w:sz w:val="24"/>
        </w:rPr>
        <w:t>Post-Transaction Merger</w:t>
      </w:r>
      <w:r>
        <w:rPr>
          <w:color w:val="000000"/>
        </w:rPr>
        <w:t xml:space="preserve">” </w:t>
      </w:r>
      <w:r>
        <w:rPr>
          <w:rFonts w:ascii="Times New Roman;serif" w:hAnsi="Times New Roman;serif"/>
          <w:b w:val="false"/>
          <w:color w:val="000000"/>
          <w:sz w:val="24"/>
        </w:rPr>
        <w:t>means any transaction between Senti Biosciences Holdings, Inc. and a counterparty pursuant to which Senti Biosciences, Inc. would be disposed of pursuant to a merger or similar transaction and the proceeds of which would be distributed to pre-transaction Senti Biosciences Holdings, Inc. stockholders.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w:t>
      </w:r>
      <w:r>
        <w:rPr>
          <w:color w:val="000000"/>
        </w:rPr>
        <w:t>“</w:t>
      </w:r>
      <w:r>
        <w:rPr>
          <w:rFonts w:ascii="Times New Roman;serif" w:hAnsi="Times New Roman;serif"/>
          <w:b/>
          <w:color w:val="000000"/>
          <w:sz w:val="24"/>
        </w:rPr>
        <w:t>Principal Market</w:t>
      </w:r>
      <w:r>
        <w:rPr>
          <w:color w:val="000000"/>
        </w:rPr>
        <w:t xml:space="preserve">” </w:t>
      </w:r>
      <w:r>
        <w:rPr>
          <w:rFonts w:ascii="Times New Roman;serif" w:hAnsi="Times New Roman;serif"/>
          <w:b w:val="false"/>
          <w:color w:val="000000"/>
          <w:sz w:val="24"/>
        </w:rPr>
        <w:t>means The Nasdaq Capital Market.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(ax)</w:t>
      </w:r>
      <w:r>
        <w:rPr>
          <w:color w:val="000000"/>
        </w:rPr>
        <w:t>“</w:t>
      </w:r>
      <w:r>
        <w:rPr>
          <w:rFonts w:ascii="Times New Roman;serif" w:hAnsi="Times New Roman;serif"/>
          <w:b/>
          <w:color w:val="000000"/>
          <w:sz w:val="24"/>
        </w:rPr>
        <w:t>Pro Rata Amount</w:t>
      </w:r>
      <w:r>
        <w:rPr>
          <w:color w:val="000000"/>
        </w:rPr>
        <w:t xml:space="preserve">” </w:t>
      </w:r>
      <w:r>
        <w:rPr>
          <w:rFonts w:ascii="Times New Roman;serif" w:hAnsi="Times New Roman;serif"/>
          <w:b w:val="false"/>
          <w:color w:val="000000"/>
          <w:sz w:val="24"/>
        </w:rPr>
        <w:t>means a fraction (i) the numerator of which is the Original Principal Amount of the Holder’s Note issued to the Holder pursuant to the Securities Purchase Agreement and (ii) the denominator of which is the aggregate Original Principal Amounts (as defined in this Note and the Other Notes) of all Notes issued to the Buyers pursuant to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(ay)</w:t>
      </w:r>
      <w:r>
        <w:rPr>
          <w:color w:val="000000"/>
        </w:rPr>
        <w:t>“</w:t>
      </w:r>
      <w:r>
        <w:rPr>
          <w:rFonts w:ascii="Times New Roman;serif" w:hAnsi="Times New Roman;serif"/>
          <w:b/>
          <w:color w:val="000000"/>
          <w:sz w:val="24"/>
        </w:rPr>
        <w:t>Redemption Dates</w:t>
      </w:r>
      <w:r>
        <w:rPr>
          <w:color w:val="000000"/>
        </w:rPr>
        <w:t xml:space="preserve">” </w:t>
      </w:r>
      <w:r>
        <w:rPr>
          <w:rFonts w:ascii="Times New Roman;serif" w:hAnsi="Times New Roman;serif"/>
          <w:b w:val="false"/>
          <w:color w:val="000000"/>
          <w:sz w:val="24"/>
        </w:rPr>
        <w:t>means, collectively, the Event of Default Redemption Dates and the Change of Control Redemption Dates, as applicable, each of the foregoing, individually, a Redemption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(az)</w:t>
      </w:r>
      <w:r>
        <w:rPr>
          <w:color w:val="000000"/>
        </w:rPr>
        <w:t>“</w:t>
      </w:r>
      <w:r>
        <w:rPr>
          <w:rFonts w:ascii="Times New Roman;serif" w:hAnsi="Times New Roman;serif"/>
          <w:b/>
          <w:color w:val="000000"/>
          <w:sz w:val="24"/>
        </w:rPr>
        <w:t>Redemption Notices</w:t>
      </w:r>
      <w:r>
        <w:rPr>
          <w:color w:val="000000"/>
        </w:rPr>
        <w:t xml:space="preserve">” </w:t>
      </w:r>
      <w:r>
        <w:rPr>
          <w:rFonts w:ascii="Times New Roman;serif" w:hAnsi="Times New Roman;serif"/>
          <w:b w:val="false"/>
          <w:color w:val="000000"/>
          <w:sz w:val="24"/>
        </w:rPr>
        <w:t>means, collectively, the Event of Default Redemption Notices and the Change of Control Redemption Notices, each of the foregoing, individually, a Redemption Notice.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(ba)</w:t>
      </w:r>
      <w:r>
        <w:rPr>
          <w:color w:val="000000"/>
        </w:rPr>
        <w:t>“</w:t>
      </w:r>
      <w:r>
        <w:rPr>
          <w:rFonts w:ascii="Times New Roman;serif" w:hAnsi="Times New Roman;serif"/>
          <w:b/>
          <w:color w:val="000000"/>
          <w:sz w:val="24"/>
        </w:rPr>
        <w:t>Redemption Prices</w:t>
      </w:r>
      <w:r>
        <w:rPr>
          <w:color w:val="000000"/>
        </w:rPr>
        <w:t xml:space="preserve">” </w:t>
      </w:r>
      <w:r>
        <w:rPr>
          <w:rFonts w:ascii="Times New Roman;serif" w:hAnsi="Times New Roman;serif"/>
          <w:b w:val="false"/>
          <w:color w:val="000000"/>
          <w:sz w:val="24"/>
        </w:rPr>
        <w:t>means, collectively, the Event of Default Redemption Prices, the Bankruptcy Event of Default Redemption Price and the Change of Control Redemption Prices, each of the foregoing, individually, a Redemption Price.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(bb)</w:t>
      </w:r>
      <w:r>
        <w:rPr>
          <w:color w:val="000000"/>
        </w:rPr>
        <w:t xml:space="preserve"> “</w:t>
      </w:r>
      <w:r>
        <w:rPr>
          <w:rFonts w:ascii="Times New Roman;serif" w:hAnsi="Times New Roman;serif"/>
          <w:b/>
          <w:color w:val="000000"/>
          <w:sz w:val="24"/>
        </w:rPr>
        <w:t>Registrable Securities</w:t>
      </w:r>
      <w:r>
        <w:rPr>
          <w:color w:val="000000"/>
        </w:rPr>
        <w:t xml:space="preserve">” </w:t>
      </w:r>
      <w:r>
        <w:rPr>
          <w:rFonts w:ascii="Times New Roman;serif" w:hAnsi="Times New Roman;serif"/>
          <w:b w:val="false"/>
          <w:color w:val="000000"/>
          <w:sz w:val="24"/>
        </w:rPr>
        <w:t>has the meaning ascribed to such term in the Registration Rights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(bc)</w:t>
      </w:r>
      <w:r>
        <w:rPr>
          <w:color w:val="000000"/>
        </w:rPr>
        <w:t>“</w:t>
      </w:r>
      <w:r>
        <w:rPr>
          <w:rFonts w:ascii="Times New Roman;serif" w:hAnsi="Times New Roman;serif"/>
          <w:b/>
          <w:color w:val="000000"/>
          <w:sz w:val="24"/>
        </w:rPr>
        <w:t>Registration Rights Agreement</w:t>
      </w:r>
      <w:r>
        <w:rPr>
          <w:color w:val="000000"/>
        </w:rPr>
        <w:t xml:space="preserve">” </w:t>
      </w:r>
      <w:r>
        <w:rPr>
          <w:rFonts w:ascii="Times New Roman;serif" w:hAnsi="Times New Roman;serif"/>
          <w:b w:val="false"/>
          <w:color w:val="000000"/>
          <w:sz w:val="24"/>
        </w:rPr>
        <w:t>means that certain registration rights agreement, dated as of the Subscription Date, by and among the Company, the Issuer and the initial holders of the Notes relating to, among other things, the registration of the resale of the Issuer Common Stock issuable upon exchange of the Notes, as may be amended, amended and restated, supplemented or otherwise modified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(bd)</w:t>
      </w:r>
      <w:r>
        <w:rPr>
          <w:color w:val="000000"/>
        </w:rPr>
        <w:t>“</w:t>
      </w:r>
      <w:r>
        <w:rPr>
          <w:rFonts w:ascii="Times New Roman;serif" w:hAnsi="Times New Roman;serif"/>
          <w:b/>
          <w:color w:val="000000"/>
          <w:sz w:val="24"/>
        </w:rPr>
        <w:t>Registration Statement</w:t>
      </w:r>
      <w:r>
        <w:rPr>
          <w:color w:val="000000"/>
        </w:rPr>
        <w:t xml:space="preserve">” </w:t>
      </w:r>
      <w:r>
        <w:rPr>
          <w:rFonts w:ascii="Times New Roman;serif" w:hAnsi="Times New Roman;serif"/>
          <w:b w:val="false"/>
          <w:color w:val="000000"/>
          <w:sz w:val="24"/>
        </w:rPr>
        <w:t>has the meaning ascribed to such term in the Registration Rights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(be)</w:t>
      </w:r>
      <w:r>
        <w:rPr>
          <w:color w:val="000000"/>
        </w:rPr>
        <w:t>“</w:t>
      </w:r>
      <w:r>
        <w:rPr>
          <w:rFonts w:ascii="Times New Roman;serif" w:hAnsi="Times New Roman;serif"/>
          <w:b/>
          <w:color w:val="000000"/>
          <w:sz w:val="24"/>
        </w:rPr>
        <w:t>Related Fund</w:t>
      </w:r>
      <w:r>
        <w:rPr>
          <w:color w:val="000000"/>
        </w:rPr>
        <w:t xml:space="preserve">” </w:t>
      </w:r>
      <w:r>
        <w:rPr>
          <w:rFonts w:ascii="Times New Roman;serif" w:hAnsi="Times New Roman;serif"/>
          <w:b w:val="false"/>
          <w:color w:val="000000"/>
          <w:sz w:val="24"/>
        </w:rPr>
        <w:t>means, with respect to any Person, a fund or account managed by such Person or an Affiliate of such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(bf)</w:t>
      </w:r>
      <w:r>
        <w:rPr>
          <w:color w:val="000000"/>
        </w:rPr>
        <w:t xml:space="preserve"> “</w:t>
      </w:r>
      <w:r>
        <w:rPr>
          <w:rFonts w:ascii="Times New Roman;serif" w:hAnsi="Times New Roman;serif"/>
          <w:b/>
          <w:color w:val="000000"/>
          <w:sz w:val="24"/>
        </w:rPr>
        <w:t>Required Holders</w:t>
      </w:r>
      <w:r>
        <w:rPr>
          <w:color w:val="000000"/>
        </w:rPr>
        <w:t xml:space="preserve">” </w:t>
      </w:r>
      <w:r>
        <w:rPr>
          <w:rFonts w:ascii="Times New Roman;serif" w:hAnsi="Times New Roman;serif"/>
          <w:b w:val="false"/>
          <w:color w:val="000000"/>
          <w:sz w:val="24"/>
        </w:rPr>
        <w:t>means the holders of Notes representing at least a majority of the aggregate principal amount of the Notes then outstanding and shall include the Lead Investor so long as the Lead Investor or any of its Affiliates holds any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(bg)</w:t>
      </w:r>
      <w:r>
        <w:rPr>
          <w:color w:val="000000"/>
        </w:rPr>
        <w:t>“</w:t>
      </w:r>
      <w:r>
        <w:rPr>
          <w:rFonts w:ascii="Times New Roman;serif" w:hAnsi="Times New Roman;serif"/>
          <w:b/>
          <w:color w:val="000000"/>
          <w:sz w:val="24"/>
        </w:rPr>
        <w:t>SEC</w:t>
      </w:r>
      <w:r>
        <w:rPr>
          <w:color w:val="000000"/>
        </w:rPr>
        <w:t>”    </w:t>
      </w:r>
      <w:r>
        <w:rPr>
          <w:rFonts w:ascii="Times New Roman;serif" w:hAnsi="Times New Roman;serif"/>
          <w:b w:val="false"/>
          <w:color w:val="000000"/>
          <w:sz w:val="24"/>
        </w:rPr>
        <w:t>means the United States Securities and Exchange Commission.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(bh)</w:t>
      </w:r>
      <w:r>
        <w:rPr>
          <w:color w:val="000000"/>
        </w:rPr>
        <w:t>“</w:t>
      </w:r>
      <w:r>
        <w:rPr>
          <w:rFonts w:ascii="Times New Roman;serif" w:hAnsi="Times New Roman;serif"/>
          <w:b/>
          <w:color w:val="000000"/>
          <w:sz w:val="24"/>
        </w:rPr>
        <w:t>Secured Party</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(bi)</w:t>
      </w: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(bj)</w:t>
      </w:r>
      <w:r>
        <w:rPr>
          <w:color w:val="000000"/>
        </w:rPr>
        <w:t>“</w:t>
      </w:r>
      <w:r>
        <w:rPr>
          <w:rFonts w:ascii="Times New Roman;serif" w:hAnsi="Times New Roman;serif"/>
          <w:b/>
          <w:color w:val="000000"/>
          <w:sz w:val="24"/>
        </w:rPr>
        <w:t>Securities Purchase Agreement</w:t>
      </w:r>
      <w:r>
        <w:rPr>
          <w:color w:val="000000"/>
        </w:rPr>
        <w:t xml:space="preserve">” </w:t>
      </w:r>
      <w:r>
        <w:rPr>
          <w:rFonts w:ascii="Times New Roman;serif" w:hAnsi="Times New Roman;serif"/>
          <w:b w:val="false"/>
          <w:color w:val="000000"/>
          <w:sz w:val="24"/>
        </w:rPr>
        <w:t>means that certain securities purchase agreement dated as of the Subscription Date by and among the Company, the Issuer and the investors listed on the signature pages attached thereto pursuant to which the Company and the Issuer issued the Notes, as may be amended, amended and restated, supplemented or otherwise modified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(bk)</w:t>
      </w:r>
      <w:r>
        <w:rPr>
          <w:color w:val="000000"/>
        </w:rPr>
        <w:t>“</w:t>
      </w:r>
      <w:r>
        <w:rPr>
          <w:rFonts w:ascii="Times New Roman;serif" w:hAnsi="Times New Roman;serif"/>
          <w:b/>
          <w:color w:val="000000"/>
          <w:sz w:val="24"/>
        </w:rPr>
        <w:t>Security Agreement</w:t>
      </w:r>
      <w:r>
        <w:rPr>
          <w:color w:val="000000"/>
        </w:rPr>
        <w:t xml:space="preserve">” </w:t>
      </w:r>
      <w:r>
        <w:rPr>
          <w:rFonts w:ascii="Times New Roman;serif" w:hAnsi="Times New Roman;serif"/>
          <w:b w:val="false"/>
          <w:color w:val="000000"/>
          <w:sz w:val="24"/>
        </w:rPr>
        <w:t>means that certain pledge and security agreement dated as of the Initial Closing Date by and among the Company, the Issuer and each of the other Grantors referred to therein, in favor of the Collateral Agent, as may be amended, amended and restated, supplemented or otherwise modified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(bl)</w:t>
      </w:r>
      <w:r>
        <w:rPr>
          <w:color w:val="000000"/>
        </w:rPr>
        <w:t>“</w:t>
      </w:r>
      <w:r>
        <w:rPr>
          <w:rFonts w:ascii="Times New Roman;serif" w:hAnsi="Times New Roman;serif"/>
          <w:b/>
          <w:color w:val="000000"/>
          <w:sz w:val="24"/>
        </w:rPr>
        <w:t>Stockholder Approval</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(bm)</w:t>
      </w:r>
      <w:r>
        <w:rPr>
          <w:color w:val="000000"/>
        </w:rPr>
        <w:t>“</w:t>
      </w:r>
      <w:r>
        <w:rPr>
          <w:rFonts w:ascii="Times New Roman;serif" w:hAnsi="Times New Roman;serif"/>
          <w:b/>
          <w:color w:val="000000"/>
          <w:sz w:val="24"/>
        </w:rPr>
        <w:t>Stockholder Approval Date</w:t>
      </w:r>
      <w:r>
        <w:rPr>
          <w:color w:val="000000"/>
        </w:rPr>
        <w:t xml:space="preserve">” </w:t>
      </w:r>
      <w:r>
        <w:rPr>
          <w:rFonts w:ascii="Times New Roman;serif" w:hAnsi="Times New Roman;serif"/>
          <w:b w:val="false"/>
          <w:color w:val="000000"/>
          <w:sz w:val="24"/>
        </w:rPr>
        <w:t>means the date the Stockholder Approval (as defined above) is obtained.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(bn)</w:t>
      </w:r>
      <w:r>
        <w:rPr>
          <w:color w:val="000000"/>
        </w:rPr>
        <w:t>”</w:t>
      </w:r>
      <w:r>
        <w:rPr>
          <w:rFonts w:ascii="Times New Roman;serif" w:hAnsi="Times New Roman;serif"/>
          <w:b/>
          <w:color w:val="000000"/>
          <w:sz w:val="24"/>
        </w:rPr>
        <w:t>Stockholder Approval Meeting Deadline</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(bo)</w:t>
      </w:r>
      <w:r>
        <w:rPr>
          <w:color w:val="000000"/>
        </w:rPr>
        <w:t>“</w:t>
      </w:r>
      <w:r>
        <w:rPr>
          <w:rFonts w:ascii="Times New Roman;serif" w:hAnsi="Times New Roman;serif"/>
          <w:b/>
          <w:color w:val="000000"/>
          <w:sz w:val="24"/>
        </w:rPr>
        <w:t>Subject Entity</w:t>
      </w:r>
      <w:r>
        <w:rPr>
          <w:color w:val="000000"/>
        </w:rPr>
        <w:t xml:space="preserve">” </w:t>
      </w:r>
      <w:r>
        <w:rPr>
          <w:rFonts w:ascii="Times New Roman;serif" w:hAnsi="Times New Roman;serif"/>
          <w:b w:val="false"/>
          <w:color w:val="000000"/>
          <w:sz w:val="24"/>
        </w:rPr>
        <w:t>means any Person, Persons or Group or any Affiliate or associate of any such Person, Persons or Group.</w:t>
      </w:r>
    </w:p>
    <w:p>
      <w:pPr>
        <w:pStyle w:val="TextBody"/>
        <w:bidi w:val="0"/>
        <w:spacing w:lineRule="auto" w:line="240" w:before="0" w:after="240"/>
        <w:ind w:left="0" w:right="0" w:firstLine="1440"/>
        <w:jc w:val="both"/>
        <w:rPr/>
      </w:pPr>
      <w:r>
        <w:rPr>
          <w:rFonts w:ascii="Times New Roman;serif" w:hAnsi="Times New Roman;serif"/>
          <w:b w:val="false"/>
          <w:color w:val="000000"/>
          <w:sz w:val="24"/>
        </w:rPr>
        <w:t>(bp)</w:t>
      </w:r>
      <w:r>
        <w:rPr>
          <w:color w:val="000000"/>
        </w:rPr>
        <w:t>“</w:t>
      </w:r>
      <w:r>
        <w:rPr>
          <w:rFonts w:ascii="Times New Roman;serif" w:hAnsi="Times New Roman;serif"/>
          <w:b/>
          <w:color w:val="000000"/>
          <w:sz w:val="24"/>
        </w:rPr>
        <w:t>Subscription Date</w:t>
      </w:r>
      <w:r>
        <w:rPr>
          <w:color w:val="000000"/>
        </w:rPr>
        <w:t xml:space="preserve">” </w:t>
      </w:r>
      <w:r>
        <w:rPr>
          <w:rFonts w:ascii="Times New Roman;serif" w:hAnsi="Times New Roman;serif"/>
          <w:b w:val="false"/>
          <w:color w:val="000000"/>
          <w:sz w:val="24"/>
        </w:rPr>
        <w:t>means April 27, 2026.</w:t>
      </w:r>
    </w:p>
    <w:p>
      <w:pPr>
        <w:pStyle w:val="TextBody"/>
        <w:bidi w:val="0"/>
        <w:spacing w:lineRule="auto" w:line="240" w:before="0" w:after="240"/>
        <w:ind w:left="0" w:right="0" w:firstLine="1440"/>
        <w:jc w:val="both"/>
        <w:rPr/>
      </w:pPr>
      <w:r>
        <w:rPr>
          <w:rFonts w:ascii="Times New Roman;serif" w:hAnsi="Times New Roman;serif"/>
          <w:b w:val="false"/>
          <w:color w:val="000000"/>
          <w:sz w:val="24"/>
        </w:rPr>
        <w:t>(bq)</w:t>
      </w: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any entity in which the applicable Person, directly or indirectly, owns any capital stock or other Equity Interest.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(br)</w:t>
      </w:r>
      <w:r>
        <w:rPr>
          <w:color w:val="000000"/>
        </w:rPr>
        <w:t xml:space="preserve"> “</w:t>
      </w:r>
      <w:r>
        <w:rPr>
          <w:rFonts w:ascii="Times New Roman;serif" w:hAnsi="Times New Roman;serif"/>
          <w:b/>
          <w:color w:val="000000"/>
          <w:sz w:val="24"/>
        </w:rPr>
        <w:t>Successor Entity</w:t>
      </w:r>
      <w:r>
        <w:rPr>
          <w:color w:val="000000"/>
        </w:rPr>
        <w:t xml:space="preserve">” </w:t>
      </w:r>
      <w:r>
        <w:rPr>
          <w:rFonts w:ascii="Times New Roman;serif" w:hAnsi="Times New Roman;serif"/>
          <w:b w:val="false"/>
          <w:color w:val="000000"/>
          <w:sz w:val="24"/>
        </w:rPr>
        <w:t>means any successor entity in a Fundamental Transaction in which the Company or the Issuer, as applicable, is not the survivor.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(bs)</w:t>
      </w:r>
      <w:r>
        <w:rPr>
          <w:color w:val="000000"/>
        </w:rPr>
        <w:t>“</w:t>
      </w:r>
      <w:r>
        <w:rPr>
          <w:rFonts w:ascii="Times New Roman;serif" w:hAnsi="Times New Roman;serif"/>
          <w:b/>
          <w:color w:val="000000"/>
          <w:sz w:val="24"/>
        </w:rPr>
        <w:t>Trading Day</w:t>
      </w:r>
      <w:r>
        <w:rPr>
          <w:color w:val="000000"/>
        </w:rPr>
        <w:t xml:space="preserve">” </w:t>
      </w:r>
      <w:r>
        <w:rPr>
          <w:rFonts w:ascii="Times New Roman;serif" w:hAnsi="Times New Roman;serif"/>
          <w:b w:val="false"/>
          <w:color w:val="000000"/>
          <w:sz w:val="24"/>
        </w:rPr>
        <w:t>means any day on which the Issuer Common Stock is traded on the Principal Market, or, if the Principal Market is not the principal trading market for the Issuer Common Stock on such day, then on the principal securities exchange or securities market on which the Issuer Common Stock is then traded.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(bt)</w:t>
      </w:r>
      <w:r>
        <w:rPr>
          <w:color w:val="000000"/>
        </w:rPr>
        <w:t>“</w:t>
      </w:r>
      <w:r>
        <w:rPr>
          <w:rFonts w:ascii="Times New Roman;serif" w:hAnsi="Times New Roman;serif"/>
          <w:b/>
          <w:color w:val="000000"/>
          <w:sz w:val="24"/>
        </w:rPr>
        <w:t>Transaction Documents</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(bu)</w:t>
      </w:r>
      <w:r>
        <w:rPr>
          <w:color w:val="000000"/>
        </w:rPr>
        <w:t xml:space="preserve"> “</w:t>
      </w:r>
      <w:r>
        <w:rPr>
          <w:rFonts w:ascii="Times New Roman;serif" w:hAnsi="Times New Roman;serif"/>
          <w:b/>
          <w:color w:val="000000"/>
          <w:sz w:val="24"/>
        </w:rPr>
        <w:t>Weighted Average Price</w:t>
      </w:r>
      <w:r>
        <w:rPr>
          <w:color w:val="000000"/>
        </w:rPr>
        <w:t xml:space="preserve">” </w:t>
      </w:r>
      <w:r>
        <w:rPr>
          <w:rFonts w:ascii="Times New Roman;serif" w:hAnsi="Times New Roman;serif"/>
          <w:b w:val="false"/>
          <w:color w:val="000000"/>
          <w:sz w:val="24"/>
        </w:rPr>
        <w:t xml:space="preserve">means, for any security as of any date, the dollar volume-weighted average price for such security on the Principal Market during the period beginning at 9:30 a.m., New York Time (or such other time as the Principal Market publicly announces is the official open of trading), and ending at 4:00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 a.m., New York Time (or such other time as such market publicly announces is the official open of trading), and ending at 4:00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Open Market (f/k/a OTC Pink) published by OTC Markets Group, Inc. (or a similar organization or agency succeeding to its functions of reporting prices).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If the Weighted Average Price cannot be calculated for a security on a particular date on any of the foregoing bases, the Weighted Average Price of such security on such date shall be the fair market value as mutually determined by the Company and/or the Issuer, as applicable, and the Holder. If the Company and/or the Issuer, as applicable, and the Holder are unable to agree upon the fair market value of such security, then such dispute shall be resolved pursuant to Section 24. All such determinations to be appropriately adjusted for any stock dividend, stock split, stock combination, reclassification or other similar transaction relating to the Issuer Common Stock during the applicable calculation period.</w:t>
      </w:r>
    </w:p>
    <w:p>
      <w:pPr>
        <w:pStyle w:val="TextBody"/>
        <w:bidi w:val="0"/>
        <w:spacing w:lineRule="auto" w:line="288" w:before="79"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Company and the Issuer has caused this Note to be duly executed as of the Issuance Date set out above.</w:t>
      </w:r>
    </w:p>
    <w:p>
      <w:pPr>
        <w:pStyle w:val="TextBody"/>
        <w:bidi w:val="0"/>
        <w:spacing w:before="0" w:after="240"/>
        <w:ind w:left="0" w:right="0" w:firstLine="720"/>
        <w:jc w:val="both"/>
        <w:rPr/>
      </w:pPr>
      <w:r>
        <w:rPr/>
      </w:r>
    </w:p>
    <w:tbl>
      <w:tblPr>
        <w:tblW w:w="3763" w:type="dxa"/>
        <w:jc w:val="right"/>
        <w:tblInd w:w="0" w:type="dxa"/>
        <w:tblLayout w:type="fixed"/>
        <w:tblCellMar>
          <w:top w:w="28" w:type="dxa"/>
          <w:left w:w="28" w:type="dxa"/>
          <w:bottom w:w="28" w:type="dxa"/>
          <w:right w:w="28" w:type="dxa"/>
        </w:tblCellMar>
      </w:tblPr>
      <w:tblGrid>
        <w:gridCol w:w="245"/>
        <w:gridCol w:w="215"/>
        <w:gridCol w:w="215"/>
        <w:gridCol w:w="239"/>
        <w:gridCol w:w="239"/>
        <w:gridCol w:w="241"/>
        <w:gridCol w:w="681"/>
        <w:gridCol w:w="681"/>
        <w:gridCol w:w="1007"/>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0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40"/>
        <w:ind w:left="0" w:right="0" w:firstLine="720"/>
        <w:jc w:val="right"/>
        <w:rPr/>
      </w:pPr>
      <w:r>
        <w:rPr/>
      </w:r>
    </w:p>
    <w:tbl>
      <w:tblPr>
        <w:tblW w:w="3844" w:type="dxa"/>
        <w:jc w:val="right"/>
        <w:tblInd w:w="0" w:type="dxa"/>
        <w:tblLayout w:type="fixed"/>
        <w:tblCellMar>
          <w:top w:w="28" w:type="dxa"/>
          <w:left w:w="28" w:type="dxa"/>
          <w:bottom w:w="28" w:type="dxa"/>
          <w:right w:w="28" w:type="dxa"/>
        </w:tblCellMar>
      </w:tblPr>
      <w:tblGrid>
        <w:gridCol w:w="275"/>
        <w:gridCol w:w="240"/>
        <w:gridCol w:w="240"/>
        <w:gridCol w:w="240"/>
        <w:gridCol w:w="240"/>
        <w:gridCol w:w="240"/>
        <w:gridCol w:w="681"/>
        <w:gridCol w:w="681"/>
        <w:gridCol w:w="1007"/>
      </w:tblGrid>
      <w:tr>
        <w:trPr/>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8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0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40"/>
        <w:ind w:left="0" w:right="0" w:firstLine="720"/>
        <w:jc w:val="right"/>
        <w:rPr/>
      </w:pPr>
      <w:r>
        <w:rPr/>
      </w:r>
    </w:p>
    <w:tbl>
      <w:tblPr>
        <w:tblW w:w="4437" w:type="dxa"/>
        <w:jc w:val="right"/>
        <w:tblInd w:w="0" w:type="dxa"/>
        <w:tblLayout w:type="fixed"/>
        <w:tblCellMar>
          <w:top w:w="28" w:type="dxa"/>
          <w:left w:w="28" w:type="dxa"/>
          <w:bottom w:w="28" w:type="dxa"/>
          <w:right w:w="28" w:type="dxa"/>
        </w:tblCellMar>
      </w:tblPr>
      <w:tblGrid>
        <w:gridCol w:w="383"/>
        <w:gridCol w:w="337"/>
        <w:gridCol w:w="337"/>
        <w:gridCol w:w="337"/>
        <w:gridCol w:w="337"/>
        <w:gridCol w:w="337"/>
        <w:gridCol w:w="684"/>
        <w:gridCol w:w="684"/>
        <w:gridCol w:w="1001"/>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44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3380" w:type="dxa"/>
            <w:gridSpan w:val="6"/>
            <w:tcBorders/>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3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48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AGREED AND ACCEPTED:</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_______________________________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both"/>
        <w:rPr/>
      </w:pPr>
      <w:r>
        <w:rPr/>
      </w:r>
    </w:p>
    <w:p>
      <w:pPr>
        <w:pStyle w:val="TextBody"/>
        <w:bidi w:val="0"/>
        <w:spacing w:before="0" w:after="4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AGREED AND ACCEPTED:</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COLLATERAL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Acquiom Agency Services LLC,</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solely in its capacity as the Collateral Agent</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Beth Cesari</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SENTI HOLDINGS, INC.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BIOSCIENCES,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BIOSCIENCES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EXCHANGE NOTICE</w:t>
      </w:r>
    </w:p>
    <w:p>
      <w:pPr>
        <w:pStyle w:val="TextBody"/>
        <w:bidi w:val="0"/>
        <w:spacing w:lineRule="auto" w:line="288" w:before="0" w:after="240"/>
        <w:jc w:val="both"/>
        <w:rPr/>
      </w:pPr>
      <w:r>
        <w:rPr>
          <w:rFonts w:ascii="Times New Roman;serif" w:hAnsi="Times New Roman;serif"/>
          <w:b w:val="false"/>
          <w:color w:val="000000"/>
          <w:sz w:val="24"/>
        </w:rPr>
        <w:t>Reference is made to the Senior Secured Convertible Note (the “</w:t>
      </w:r>
      <w:r>
        <w:rPr>
          <w:rFonts w:ascii="Times New Roman;serif" w:hAnsi="Times New Roman;serif"/>
          <w:b/>
          <w:color w:val="000000"/>
          <w:sz w:val="24"/>
        </w:rPr>
        <w:t>Note</w:t>
      </w:r>
      <w:r>
        <w:rPr>
          <w:color w:val="000000"/>
        </w:rPr>
        <w:t>”</w:t>
      </w:r>
      <w:r>
        <w:rPr>
          <w:rFonts w:ascii="Times New Roman;serif" w:hAnsi="Times New Roman;serif"/>
          <w:b w:val="false"/>
          <w:color w:val="000000"/>
          <w:sz w:val="24"/>
        </w:rPr>
        <w:t>) issued to the undersigned by Senti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Senti Biosciences, Inc., a Delaware corporation and Senti Biosciences Holdings, Inc., a Delaware corporation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In accordance with and pursuant to the Note, the undersigned hereby elects to exchange the Outstanding Amount (as defined in the Note) of the Note indicated below into shares of Issuer Common Stock par value $0.0001 per share (the “</w:t>
      </w:r>
      <w:r>
        <w:rPr>
          <w:rFonts w:ascii="Times New Roman;serif" w:hAnsi="Times New Roman;serif"/>
          <w:b/>
          <w:color w:val="000000"/>
          <w:sz w:val="24"/>
        </w:rPr>
        <w:t>Issuer Common Stock</w:t>
      </w:r>
      <w:r>
        <w:rPr>
          <w:color w:val="000000"/>
        </w:rPr>
        <w:t>”</w:t>
      </w:r>
      <w:r>
        <w:rPr>
          <w:rFonts w:ascii="Times New Roman;serif" w:hAnsi="Times New Roman;serif"/>
          <w:b w:val="false"/>
          <w:color w:val="000000"/>
          <w:sz w:val="24"/>
        </w:rPr>
        <w:t>) of the Issuer as of the date specified below.</w:t>
      </w:r>
    </w:p>
    <w:p>
      <w:pPr>
        <w:pStyle w:val="TextBody"/>
        <w:bidi w:val="0"/>
        <w:spacing w:lineRule="auto" w:line="288" w:before="0" w:after="240"/>
        <w:jc w:val="left"/>
        <w:rPr/>
      </w:pPr>
      <w:r>
        <w:rPr>
          <w:rFonts w:ascii="Times New Roman;serif" w:hAnsi="Times New Roman;serif"/>
          <w:b w:val="false"/>
          <w:color w:val="000000"/>
          <w:sz w:val="24"/>
        </w:rPr>
        <w:t>Date of Exchange: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Aggregate Outstanding Amount to be exchanged</w:t>
        <w:br/>
        <w:t>or number of Exchange Shares to be issued upon</w:t>
        <w:br/>
        <w:t>exchange: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confirm the following information:    </w:t>
      </w:r>
    </w:p>
    <w:p>
      <w:pPr>
        <w:pStyle w:val="TextBody"/>
        <w:bidi w:val="0"/>
        <w:spacing w:lineRule="auto" w:line="288" w:before="0" w:after="240"/>
        <w:jc w:val="left"/>
        <w:rPr/>
      </w:pPr>
      <w:r>
        <w:rPr>
          <w:rFonts w:ascii="Times New Roman;serif" w:hAnsi="Times New Roman;serif"/>
          <w:b w:val="false"/>
          <w:color w:val="000000"/>
          <w:sz w:val="24"/>
        </w:rPr>
        <w:t>Exchange / Conversion Price: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Aggregate Outstanding Amount is</w:t>
        <w:br/>
        <w:t>provided above, number of shares of Issuer</w:t>
      </w:r>
    </w:p>
    <w:p>
      <w:pPr>
        <w:pStyle w:val="TextBody"/>
        <w:bidi w:val="0"/>
        <w:spacing w:lineRule="auto" w:line="288" w:before="0" w:after="240"/>
        <w:jc w:val="left"/>
        <w:rPr/>
      </w:pPr>
      <w:r>
        <w:rPr>
          <w:rFonts w:ascii="Times New Roman;serif" w:hAnsi="Times New Roman;serif"/>
          <w:b w:val="false"/>
          <w:color w:val="000000"/>
          <w:sz w:val="24"/>
        </w:rPr>
        <w:t>Common Stock to be issued: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issue the Issuer Common Stock into which the Notes are being exchanged to the Holder, or for its benefit, as follows: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Check here if requesting delivery as a certificate to the following name and to the following address:</w:t>
      </w:r>
    </w:p>
    <w:p>
      <w:pPr>
        <w:pStyle w:val="TextBody"/>
        <w:bidi w:val="0"/>
        <w:spacing w:lineRule="auto" w:line="288" w:before="0" w:after="120"/>
        <w:jc w:val="left"/>
        <w:rPr/>
      </w:pPr>
      <w:r>
        <w:rPr>
          <w:rFonts w:ascii="Times New Roman;serif" w:hAnsi="Times New Roman;serif"/>
          <w:b w:val="false"/>
          <w:color w:val="000000"/>
          <w:sz w:val="24"/>
        </w:rPr>
        <w:t>Issue to:    </w:t>
      </w: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Address: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Electronic Mail: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Authorization:    </w:t>
      </w:r>
      <w:r>
        <w:rPr>
          <w:color w:val="000000"/>
          <w:u w:val="single"/>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Check here if requesting delivery by Deposit/Withdrawal at Custodian as follows:</w:t>
      </w:r>
    </w:p>
    <w:p>
      <w:pPr>
        <w:pStyle w:val="TextBody"/>
        <w:bidi w:val="0"/>
        <w:spacing w:lineRule="auto" w:line="288" w:before="0" w:after="240"/>
        <w:jc w:val="left"/>
        <w:rPr/>
      </w:pPr>
      <w:r>
        <w:rPr>
          <w:rFonts w:ascii="Times New Roman;serif" w:hAnsi="Times New Roman;serif"/>
          <w:b w:val="false"/>
          <w:color w:val="000000"/>
          <w:sz w:val="24"/>
        </w:rPr>
        <w:t>DTC Participant: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DTC Number: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Account Number:</w:t>
      </w:r>
    </w:p>
    <w:p>
      <w:pPr>
        <w:pStyle w:val="TextBody"/>
        <w:bidi w:val="0"/>
        <w:spacing w:lineRule="auto" w:line="288" w:before="0" w:after="240"/>
        <w:jc w:val="left"/>
        <w:rPr/>
      </w:pPr>
      <w:r>
        <w:rPr>
          <w:rFonts w:ascii="Times New Roman;serif" w:hAnsi="Times New Roman;serif"/>
          <w:b w:val="false"/>
          <w:color w:val="000000"/>
          <w:sz w:val="24"/>
        </w:rPr>
        <w:t>Authorization: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Dated:</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Account Number: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electronic book entry transfer)</w:t>
      </w:r>
    </w:p>
    <w:p>
      <w:pPr>
        <w:pStyle w:val="TextBody"/>
        <w:bidi w:val="0"/>
        <w:spacing w:lineRule="auto" w:line="288" w:before="0" w:after="0"/>
        <w:jc w:val="left"/>
        <w:rPr/>
      </w:pPr>
      <w:r>
        <w:rPr>
          <w:rFonts w:ascii="Times New Roman;serif" w:hAnsi="Times New Roman;serif"/>
          <w:b w:val="false"/>
          <w:color w:val="000000"/>
          <w:sz w:val="24"/>
        </w:rPr>
        <w:t>Transaction Code Number:    </w:t>
      </w:r>
      <w:r>
        <w:rPr>
          <w:color w:val="000000"/>
          <w:u w:val="single"/>
        </w:rPr>
        <w:t>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(if electronic book entry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ACKNOWLEDGMENT</w:t>
      </w:r>
    </w:p>
    <w:p>
      <w:pPr>
        <w:pStyle w:val="TextBody"/>
        <w:bidi w:val="0"/>
        <w:spacing w:lineRule="auto" w:line="288" w:before="0" w:after="240"/>
        <w:jc w:val="both"/>
        <w:rPr/>
      </w:pPr>
      <w:r>
        <w:rPr>
          <w:rFonts w:ascii="Times New Roman;serif" w:hAnsi="Times New Roman;serif"/>
          <w:b w:val="false"/>
          <w:color w:val="000000"/>
          <w:sz w:val="24"/>
        </w:rPr>
        <w:t xml:space="preserve">Each of the Issuer and the Company hereby acknowledges this Exchange Notice and hereby directs Continental Stock Transfer &amp; Trust Company to issue the above indicated number of shares of Issuer Common Stock in accordance with the Transfer Agent Instructions dated </w:t>
      </w:r>
      <w:r>
        <w:rPr>
          <w:color w:val="000000"/>
          <w:u w:val="single"/>
        </w:rPr>
        <w:t>    </w:t>
      </w:r>
      <w:r>
        <w:rPr>
          <w:rFonts w:ascii="Times New Roman;serif" w:hAnsi="Times New Roman;serif"/>
          <w:b w:val="false"/>
          <w:color w:val="000000"/>
          <w:sz w:val="24"/>
        </w:rPr>
        <w:t>, 2026 from the Issuer and acknowledged and agreed to by Continental Stock Transfer &amp; Trust Company.</w:t>
      </w:r>
    </w:p>
    <w:tbl>
      <w:tblPr>
        <w:tblW w:w="2141" w:type="dxa"/>
        <w:jc w:val="right"/>
        <w:tblInd w:w="0" w:type="dxa"/>
        <w:tblLayout w:type="fixed"/>
        <w:tblCellMar>
          <w:top w:w="28" w:type="dxa"/>
          <w:left w:w="28" w:type="dxa"/>
          <w:bottom w:w="28" w:type="dxa"/>
          <w:right w:w="28" w:type="dxa"/>
        </w:tblCellMar>
      </w:tblPr>
      <w:tblGrid>
        <w:gridCol w:w="245"/>
        <w:gridCol w:w="215"/>
        <w:gridCol w:w="215"/>
        <w:gridCol w:w="239"/>
        <w:gridCol w:w="239"/>
        <w:gridCol w:w="241"/>
        <w:gridCol w:w="215"/>
        <w:gridCol w:w="215"/>
        <w:gridCol w:w="317"/>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4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2307" w:type="dxa"/>
        <w:jc w:val="right"/>
        <w:tblInd w:w="0" w:type="dxa"/>
        <w:tblLayout w:type="fixed"/>
        <w:tblCellMar>
          <w:top w:w="28" w:type="dxa"/>
          <w:left w:w="28" w:type="dxa"/>
          <w:bottom w:w="28" w:type="dxa"/>
          <w:right w:w="28" w:type="dxa"/>
        </w:tblCellMar>
      </w:tblPr>
      <w:tblGrid>
        <w:gridCol w:w="275"/>
        <w:gridCol w:w="240"/>
        <w:gridCol w:w="240"/>
        <w:gridCol w:w="240"/>
        <w:gridCol w:w="240"/>
        <w:gridCol w:w="240"/>
        <w:gridCol w:w="240"/>
        <w:gridCol w:w="240"/>
        <w:gridCol w:w="352"/>
      </w:tblGrid>
      <w:tr>
        <w:trPr/>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5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3234" w:type="dxa"/>
        <w:jc w:val="right"/>
        <w:tblInd w:w="0" w:type="dxa"/>
        <w:tblLayout w:type="fixed"/>
        <w:tblCellMar>
          <w:top w:w="28" w:type="dxa"/>
          <w:left w:w="28" w:type="dxa"/>
          <w:bottom w:w="28" w:type="dxa"/>
          <w:right w:w="28" w:type="dxa"/>
        </w:tblCellMar>
      </w:tblPr>
      <w:tblGrid>
        <w:gridCol w:w="383"/>
        <w:gridCol w:w="337"/>
        <w:gridCol w:w="337"/>
        <w:gridCol w:w="337"/>
        <w:gridCol w:w="337"/>
        <w:gridCol w:w="337"/>
        <w:gridCol w:w="337"/>
        <w:gridCol w:w="337"/>
        <w:gridCol w:w="492"/>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2177" w:type="dxa"/>
            <w:gridSpan w:val="6"/>
            <w:tcBorders/>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1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BIOSCIENCES,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BIOSCIENCES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EXCHANGE NOTICE</w:t>
      </w:r>
    </w:p>
    <w:p>
      <w:pPr>
        <w:pStyle w:val="TextBody"/>
        <w:bidi w:val="0"/>
        <w:spacing w:lineRule="auto" w:line="288" w:before="0" w:after="240"/>
        <w:jc w:val="both"/>
        <w:rPr/>
      </w:pPr>
      <w:r>
        <w:rPr>
          <w:rFonts w:ascii="Times New Roman;serif" w:hAnsi="Times New Roman;serif"/>
          <w:b w:val="false"/>
          <w:color w:val="000000"/>
          <w:sz w:val="24"/>
        </w:rPr>
        <w:t>Reference is made to the Senior Secured Convertible Note (the “</w:t>
      </w:r>
      <w:r>
        <w:rPr>
          <w:rFonts w:ascii="Times New Roman;serif" w:hAnsi="Times New Roman;serif"/>
          <w:b/>
          <w:color w:val="000000"/>
          <w:sz w:val="24"/>
        </w:rPr>
        <w:t>Note</w:t>
      </w:r>
      <w:r>
        <w:rPr>
          <w:color w:val="000000"/>
        </w:rPr>
        <w:t>”</w:t>
      </w:r>
      <w:r>
        <w:rPr>
          <w:rFonts w:ascii="Times New Roman;serif" w:hAnsi="Times New Roman;serif"/>
          <w:b w:val="false"/>
          <w:color w:val="000000"/>
          <w:sz w:val="24"/>
        </w:rPr>
        <w:t>) issued to the undersigned by Senti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Senti Biosciences, Inc., a Delaware corporation and Senti Biosciences Holdings, Inc., a Delaware corporation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In accordance with and pursuant to the Note, the undersigned hereby elects to exchange the Outstanding Amount (as defined in the Note) of the Note indicated below into shares of Issuer Common Stock par value $0.0001 per share (the “</w:t>
      </w:r>
      <w:r>
        <w:rPr>
          <w:rFonts w:ascii="Times New Roman;serif" w:hAnsi="Times New Roman;serif"/>
          <w:b/>
          <w:color w:val="000000"/>
          <w:sz w:val="24"/>
        </w:rPr>
        <w:t>Issuer Common Stock</w:t>
      </w:r>
      <w:r>
        <w:rPr>
          <w:color w:val="000000"/>
        </w:rPr>
        <w:t>”</w:t>
      </w:r>
      <w:r>
        <w:rPr>
          <w:rFonts w:ascii="Times New Roman;serif" w:hAnsi="Times New Roman;serif"/>
          <w:b w:val="false"/>
          <w:color w:val="000000"/>
          <w:sz w:val="24"/>
        </w:rPr>
        <w:t>) of the Issuer as of the date specified below.</w:t>
      </w:r>
    </w:p>
    <w:p>
      <w:pPr>
        <w:pStyle w:val="TextBody"/>
        <w:bidi w:val="0"/>
        <w:spacing w:lineRule="auto" w:line="288" w:before="0" w:after="240"/>
        <w:jc w:val="left"/>
        <w:rPr/>
      </w:pPr>
      <w:r>
        <w:rPr>
          <w:rFonts w:ascii="Times New Roman;serif" w:hAnsi="Times New Roman;serif"/>
          <w:b w:val="false"/>
          <w:color w:val="000000"/>
          <w:sz w:val="24"/>
        </w:rPr>
        <w:t>Date of Exchange: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Aggregate Outstanding Amount to be converted or</w:t>
        <w:br/>
        <w:t>number of Company Common Stock to be issued</w:t>
        <w:br/>
        <w:t>upon conversion: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confirm the following information:    </w:t>
      </w:r>
    </w:p>
    <w:p>
      <w:pPr>
        <w:pStyle w:val="TextBody"/>
        <w:bidi w:val="0"/>
        <w:spacing w:lineRule="auto" w:line="288" w:before="0" w:after="240"/>
        <w:jc w:val="left"/>
        <w:rPr/>
      </w:pPr>
      <w:r>
        <w:rPr>
          <w:rFonts w:ascii="Times New Roman;serif" w:hAnsi="Times New Roman;serif"/>
          <w:b w:val="false"/>
          <w:color w:val="000000"/>
          <w:sz w:val="24"/>
        </w:rPr>
        <w:t>Exchange / Conversion Price: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If Aggregate Outstanding Amount is</w:t>
        <w:br/>
        <w:t>provided above, number of Company</w:t>
        <w:br/>
        <w:t>Common Stock to be issued: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issue the Issuer Common Stock into which the Notes are being exchanged to the Holder, or for its benefit, as follows:</w:t>
      </w:r>
    </w:p>
    <w:p>
      <w:pPr>
        <w:pStyle w:val="TextBody"/>
        <w:bidi w:val="0"/>
        <w:spacing w:lineRule="auto" w:line="288" w:before="0" w:after="120"/>
        <w:jc w:val="left"/>
        <w:rPr/>
      </w:pPr>
      <w:r>
        <w:rPr>
          <w:rFonts w:ascii="Times New Roman;serif" w:hAnsi="Times New Roman;serif"/>
          <w:b w:val="false"/>
          <w:color w:val="000000"/>
          <w:sz w:val="24"/>
        </w:rPr>
        <w:t>Issue to:    </w:t>
      </w: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Address: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Electronic Mail: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Authorization: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    </w:t>
      </w:r>
      <w:r>
        <w:rPr>
          <w:color w:val="000000"/>
          <w:u w:val="single"/>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Dated:</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Account Number: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electronic book entry transfer)</w:t>
      </w:r>
    </w:p>
    <w:p>
      <w:pPr>
        <w:pStyle w:val="TextBody"/>
        <w:bidi w:val="0"/>
        <w:spacing w:lineRule="auto" w:line="288" w:before="0" w:after="0"/>
        <w:jc w:val="left"/>
        <w:rPr/>
      </w:pPr>
      <w:r>
        <w:rPr>
          <w:rFonts w:ascii="Times New Roman;serif" w:hAnsi="Times New Roman;serif"/>
          <w:b w:val="false"/>
          <w:color w:val="000000"/>
          <w:sz w:val="24"/>
        </w:rPr>
        <w:t>Transaction Code Number:    </w:t>
      </w:r>
      <w:r>
        <w:rPr>
          <w:color w:val="000000"/>
          <w:u w:val="single"/>
        </w:rPr>
        <w:t>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(if electronic book entry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ACKNOWLEDGMENT</w:t>
      </w:r>
    </w:p>
    <w:p>
      <w:pPr>
        <w:pStyle w:val="TextBody"/>
        <w:bidi w:val="0"/>
        <w:spacing w:lineRule="auto" w:line="288" w:before="0" w:after="240"/>
        <w:jc w:val="both"/>
        <w:rPr/>
      </w:pPr>
      <w:r>
        <w:rPr>
          <w:rFonts w:ascii="Times New Roman;serif" w:hAnsi="Times New Roman;serif"/>
          <w:b w:val="false"/>
          <w:color w:val="000000"/>
          <w:sz w:val="24"/>
        </w:rPr>
        <w:t xml:space="preserve">Each of the Issuer and the Company hereby acknowledges this Exchange Notice and hereby directs Continental Stock Transfer &amp; Trust Company to issue the above indicated number of shares of Issuer Common Stock in accordance with the Transfer Agent Instructions dated </w:t>
      </w:r>
      <w:r>
        <w:rPr>
          <w:color w:val="000000"/>
          <w:u w:val="single"/>
        </w:rPr>
        <w:t>    </w:t>
      </w:r>
      <w:r>
        <w:rPr>
          <w:rFonts w:ascii="Times New Roman;serif" w:hAnsi="Times New Roman;serif"/>
          <w:b w:val="false"/>
          <w:color w:val="000000"/>
          <w:sz w:val="24"/>
        </w:rPr>
        <w:t>, 2026 from the Issuer and acknowledged and agreed to by Continental Stock Transfer &amp; Trust Company.</w:t>
      </w:r>
    </w:p>
    <w:tbl>
      <w:tblPr>
        <w:tblW w:w="2141" w:type="dxa"/>
        <w:jc w:val="right"/>
        <w:tblInd w:w="0" w:type="dxa"/>
        <w:tblLayout w:type="fixed"/>
        <w:tblCellMar>
          <w:top w:w="28" w:type="dxa"/>
          <w:left w:w="28" w:type="dxa"/>
          <w:bottom w:w="28" w:type="dxa"/>
          <w:right w:w="28" w:type="dxa"/>
        </w:tblCellMar>
      </w:tblPr>
      <w:tblGrid>
        <w:gridCol w:w="245"/>
        <w:gridCol w:w="215"/>
        <w:gridCol w:w="215"/>
        <w:gridCol w:w="239"/>
        <w:gridCol w:w="239"/>
        <w:gridCol w:w="241"/>
        <w:gridCol w:w="215"/>
        <w:gridCol w:w="215"/>
        <w:gridCol w:w="317"/>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4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2307" w:type="dxa"/>
        <w:jc w:val="right"/>
        <w:tblInd w:w="0" w:type="dxa"/>
        <w:tblLayout w:type="fixed"/>
        <w:tblCellMar>
          <w:top w:w="28" w:type="dxa"/>
          <w:left w:w="28" w:type="dxa"/>
          <w:bottom w:w="28" w:type="dxa"/>
          <w:right w:w="28" w:type="dxa"/>
        </w:tblCellMar>
      </w:tblPr>
      <w:tblGrid>
        <w:gridCol w:w="275"/>
        <w:gridCol w:w="240"/>
        <w:gridCol w:w="240"/>
        <w:gridCol w:w="240"/>
        <w:gridCol w:w="240"/>
        <w:gridCol w:w="240"/>
        <w:gridCol w:w="240"/>
        <w:gridCol w:w="240"/>
        <w:gridCol w:w="352"/>
      </w:tblGrid>
      <w:tr>
        <w:trPr/>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5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3234" w:type="dxa"/>
        <w:jc w:val="right"/>
        <w:tblInd w:w="0" w:type="dxa"/>
        <w:tblLayout w:type="fixed"/>
        <w:tblCellMar>
          <w:top w:w="28" w:type="dxa"/>
          <w:left w:w="28" w:type="dxa"/>
          <w:bottom w:w="28" w:type="dxa"/>
          <w:right w:w="28" w:type="dxa"/>
        </w:tblCellMar>
      </w:tblPr>
      <w:tblGrid>
        <w:gridCol w:w="383"/>
        <w:gridCol w:w="337"/>
        <w:gridCol w:w="337"/>
        <w:gridCol w:w="337"/>
        <w:gridCol w:w="337"/>
        <w:gridCol w:w="337"/>
        <w:gridCol w:w="337"/>
        <w:gridCol w:w="337"/>
        <w:gridCol w:w="492"/>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2177" w:type="dxa"/>
            <w:gridSpan w:val="6"/>
            <w:tcBorders/>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1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ind w:left="0" w:right="0" w:firstLine="720"/>
        <w:jc w:val="left"/>
        <w:rPr/>
      </w:pPr>
      <w:r>
        <w:rPr/>
      </w:r>
    </w:p>
    <w:p>
      <w:pPr>
        <w:pStyle w:val="TextBody"/>
        <w:bidi w:val="0"/>
        <w:spacing w:before="0" w:after="48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EQUITY COMMITMENT LETTER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CPIF II-9 Limited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PO Box 500, Suite 210, 2nd Floor, Windward III, Regatta Office Park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Grand Cayman, Cayman Islands, KY1-1106</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September 3, 2026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Senti Biosciences Holdings,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 Corporate Drive, First Floor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South San Francisco, CA 94080</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letter agreement sets forth the commitment of CPIF II-9 Limited (“</w:t>
      </w:r>
      <w:r>
        <w:rPr>
          <w:rFonts w:ascii="Times New Roman;serif" w:hAnsi="Times New Roman;serif"/>
          <w:b w:val="false"/>
          <w:color w:val="000000"/>
          <w:sz w:val="24"/>
          <w:u w:val="single"/>
        </w:rPr>
        <w:t>Investor</w:t>
      </w:r>
      <w:r>
        <w:rPr>
          <w:color w:val="000000"/>
        </w:rPr>
        <w:t>”</w:t>
      </w:r>
      <w:r>
        <w:rPr>
          <w:rFonts w:ascii="Times New Roman;serif" w:hAnsi="Times New Roman;serif"/>
          <w:b w:val="false"/>
          <w:color w:val="000000"/>
          <w:sz w:val="24"/>
        </w:rPr>
        <w:t>) to Senti Biosciences Holdings, Inc.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connection with the Agreement and Plan of Merger dated July 14, 2026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among the Company, Investor, Senti Merger Sub, Inc.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Senti Holdings, Inc. (“</w:t>
      </w:r>
      <w:r>
        <w:rPr>
          <w:rFonts w:ascii="Times New Roman;serif" w:hAnsi="Times New Roman;serif"/>
          <w:b w:val="false"/>
          <w:color w:val="000000"/>
          <w:sz w:val="24"/>
          <w:u w:val="single"/>
        </w:rPr>
        <w:t>Midco</w:t>
      </w:r>
      <w:r>
        <w:rPr>
          <w:color w:val="000000"/>
        </w:rPr>
        <w:t>”</w:t>
      </w:r>
      <w:r>
        <w:rPr>
          <w:rFonts w:ascii="Times New Roman;serif" w:hAnsi="Times New Roman;serif"/>
          <w:b w:val="false"/>
          <w:color w:val="000000"/>
          <w:sz w:val="24"/>
        </w:rPr>
        <w:t>) and Senti Biosciences, Inc. (“</w:t>
      </w:r>
      <w:r>
        <w:rPr>
          <w:rFonts w:ascii="Times New Roman;serif" w:hAnsi="Times New Roman;serif"/>
          <w:b w:val="false"/>
          <w:color w:val="000000"/>
          <w:sz w:val="24"/>
          <w:u w:val="single"/>
        </w:rPr>
        <w:t>Opco</w:t>
      </w:r>
      <w:r>
        <w:rPr>
          <w:color w:val="000000"/>
        </w:rPr>
        <w:t>”</w:t>
      </w:r>
      <w:r>
        <w:rPr>
          <w:rFonts w:ascii="Times New Roman;serif" w:hAnsi="Times New Roman;serif"/>
          <w:b w:val="false"/>
          <w:color w:val="000000"/>
          <w:sz w:val="24"/>
        </w:rPr>
        <w:t>). Capitalized terms used but not defined herein shall have the respective meanings ascribed to them in the Merger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Commitment</w:t>
      </w:r>
      <w:r>
        <w:rPr>
          <w:rFonts w:ascii="Times New Roman;serif" w:hAnsi="Times New Roman;serif"/>
          <w:b w:val="false"/>
          <w:color w:val="000000"/>
          <w:sz w:val="24"/>
        </w:rPr>
        <w:t xml:space="preserve">. Subject to the terms and conditions set forth herein, Investor hereby commits to purchase, or to cause </w:t>
      </w:r>
      <w:r>
        <w:rPr>
          <w:rFonts w:ascii="Times New Roman;serif" w:hAnsi="Times New Roman;serif"/>
          <w:b w:val="false"/>
          <w:color w:val="000000"/>
          <w:sz w:val="24"/>
          <w:shd w:fill="FFFFFF" w:val="clear"/>
        </w:rPr>
        <w:t>one or more of its affiliates to purchase, newly issued shares of common stock, par value $0.0001 per share, of the Company (“</w:t>
      </w:r>
      <w:r>
        <w:rPr>
          <w:rFonts w:ascii="Times New Roman;serif" w:hAnsi="Times New Roman;serif"/>
          <w:b w:val="false"/>
          <w:color w:val="000000"/>
          <w:sz w:val="24"/>
          <w:u w:val="single"/>
          <w:shd w:fill="FFFFFF" w:val="clear"/>
        </w:rPr>
        <w:t>Common Stock</w:t>
      </w:r>
      <w:r>
        <w:rPr>
          <w:color w:val="000000"/>
          <w:shd w:fill="FFFFFF" w:val="clear"/>
        </w:rPr>
        <w:t>”</w:t>
      </w:r>
      <w:r>
        <w:rPr>
          <w:rFonts w:ascii="Times New Roman;serif" w:hAnsi="Times New Roman;serif"/>
          <w:b w:val="false"/>
          <w:color w:val="000000"/>
          <w:sz w:val="24"/>
          <w:shd w:fill="FFFFFF" w:val="clear"/>
        </w:rPr>
        <w:t>) for an aggregate purchase price equal to $2,500,000 (the “</w:t>
      </w:r>
      <w:r>
        <w:rPr>
          <w:rFonts w:ascii="Times New Roman;serif" w:hAnsi="Times New Roman;serif"/>
          <w:b w:val="false"/>
          <w:color w:val="000000"/>
          <w:sz w:val="24"/>
          <w:u w:val="single"/>
          <w:shd w:fill="FFFFFF" w:val="clear"/>
        </w:rPr>
        <w:t>Commitment</w:t>
      </w:r>
      <w:r>
        <w:rPr>
          <w:color w:val="000000"/>
          <w:shd w:fill="FFFFFF" w:val="clear"/>
        </w:rPr>
        <w:t>”</w:t>
      </w:r>
      <w:r>
        <w:rPr>
          <w:rFonts w:ascii="Times New Roman;serif" w:hAnsi="Times New Roman;serif"/>
          <w:b w:val="false"/>
          <w:color w:val="000000"/>
          <w:sz w:val="24"/>
          <w:shd w:fill="FFFFFF" w:val="clear"/>
        </w:rPr>
        <w:t>; such amount, the “</w:t>
      </w:r>
      <w:r>
        <w:rPr>
          <w:rFonts w:ascii="Times New Roman;serif" w:hAnsi="Times New Roman;serif"/>
          <w:b w:val="false"/>
          <w:color w:val="000000"/>
          <w:sz w:val="24"/>
          <w:u w:val="single"/>
          <w:shd w:fill="FFFFFF" w:val="clear"/>
        </w:rPr>
        <w:t>Commitment Amount</w:t>
      </w:r>
      <w:r>
        <w:rPr>
          <w:color w:val="000000"/>
          <w:shd w:fill="FFFFFF" w:val="clear"/>
        </w:rPr>
        <w:t>”</w:t>
      </w:r>
      <w:r>
        <w:rPr>
          <w:rFonts w:ascii="Times New Roman;serif" w:hAnsi="Times New Roman;serif"/>
          <w:b w:val="false"/>
          <w:color w:val="000000"/>
          <w:sz w:val="24"/>
          <w:shd w:fill="FFFFFF" w:val="clear"/>
        </w:rPr>
        <w:t>), at a per share price equal to the “Minimum Price” as defined in Nasdaq Listing Rule 5635(d) (the “</w:t>
      </w:r>
      <w:r>
        <w:rPr>
          <w:rFonts w:ascii="Times New Roman;serif" w:hAnsi="Times New Roman;serif"/>
          <w:b w:val="false"/>
          <w:color w:val="000000"/>
          <w:sz w:val="24"/>
          <w:u w:val="single"/>
          <w:shd w:fill="FFFFFF" w:val="clear"/>
        </w:rPr>
        <w:t>Per Share Price</w:t>
      </w:r>
      <w:r>
        <w:rPr>
          <w:color w:val="000000"/>
          <w:shd w:fill="FFFFFF" w:val="clear"/>
        </w:rPr>
        <w:t>”</w:t>
      </w:r>
      <w:r>
        <w:rPr>
          <w:rFonts w:ascii="Times New Roman;serif" w:hAnsi="Times New Roman;serif"/>
          <w:b w:val="false"/>
          <w:color w:val="000000"/>
          <w:sz w:val="24"/>
          <w:shd w:fill="FFFFFF" w:val="clear"/>
        </w:rPr>
        <w:t xml:space="preserve">). The number of shares to be purchased shall equal the Commitment Amount divided by the Per Share Price (rounded down to the nearest whole share). The obligation may be satisfied by Investor directly or through one or more of its 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satisfaction by an affiliate shall relieve Investor of its obligations hereunder to the extent not so satisfied (and any amount actually funded by such affiliate shall only reduce Investor’s remaining liability hereunder). Notwithstanding anything to the contrary herein, in no event shall the aggregate liability of Investor under or in connection with this letter agreement exceed the Commitment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Conditions</w:t>
      </w:r>
      <w:r>
        <w:rPr>
          <w:rFonts w:ascii="Times New Roman;serif" w:hAnsi="Times New Roman;serif"/>
          <w:b w:val="false"/>
          <w:color w:val="000000"/>
          <w:sz w:val="24"/>
        </w:rPr>
        <w:t>. Investor’s obligation to satisfy the Commitment shall be subject solely to (a) the substantially contemporaneous consummation of the Closing (as defined in the Merger Agreement), (b) the Company having submitted to the Listing Qualifications Department of the Nasdaq Stock Market LLC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a letter and compliance plan demonstrating the Company’s ability to satisfy the minimum stockholders’ equity requirement for continued listing on the Nasdaq Capital Market following the consummation of the Closing and the other transactions contemplated by the Merger Agreement (the “</w:t>
      </w:r>
      <w:r>
        <w:rPr>
          <w:rFonts w:ascii="Times New Roman;serif" w:hAnsi="Times New Roman;serif"/>
          <w:b w:val="false"/>
          <w:color w:val="000000"/>
          <w:sz w:val="24"/>
          <w:u w:val="single"/>
        </w:rPr>
        <w:t>Nasdaq Compliance Plan</w:t>
      </w:r>
      <w:r>
        <w:rPr>
          <w:color w:val="000000"/>
        </w:rPr>
        <w:t>”</w:t>
      </w:r>
      <w:r>
        <w:rPr>
          <w:rFonts w:ascii="Times New Roman;serif" w:hAnsi="Times New Roman;serif"/>
          <w:b w:val="false"/>
          <w:color w:val="000000"/>
          <w:sz w:val="24"/>
        </w:rPr>
        <w:t xml:space="preserve">), provided that the Company shall provide Investor with a reasonable ability to review and comment on the Nasdaq Compliance Plan and shall consider any comments by Investor in good faith prior to submission of the Nasdaq Compliance Plan, (c) the Company retaining at least $600,000 in existing cash or cash equivalents following completion of the Closing, (d) the Company having taken commercially reasonable steps to maintain the listing of the Common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Stock on the Nasdaq Capital Market through and following the Closing and (e) the execution and delivery of the Registration Rights Agreement (as defined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below). </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Investor hereby represents and warrants (and makes no other representations and warranties, express or implied) that: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a.It is duly organized or incorporated, validly existing and in good standing under the laws of its jurisdiction of organization or incorporation.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b.The execution, delivery of and performance under this letter agreement by it is within its organizational or corporate powers and has been duly authorized by all necessary organizational, general partner, manager or corporate action, as applicable.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c.This letter agreement has been duly executed and delivered by it and, assuming the due authorization, execution and delivery by the Company, constitutes its valid and binding agreement, enforceable against it in accordance with its terms, except as such enforceability may be limited by bankruptcy, insolvency, fraudulent conveyance, reorganization, moratorium or other similar applicable law relating to or affecting creditors’ rights generally by general principles of equity.</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d.The execution and delivery of and performance under, this letter agreement by it do not and will not (i) violate its organizational documents, (ii) violate any provision of applicable Law or any Order or (iii) conflict with any material agreement binding upon it, except in the case of (ii) and (iii) as would not reasonably be expected to, individually or in the aggregate, materially affect its ability to enter into this letter agreement or perform its obligations hereunder.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e.All consents, approvals, authorizations, permits of, filings with and notifications to, any governmental authority necessary for the due execution, delivery and performance of this letter by Investor have been obtained or made and all conditions thereof have been duly complied with, and no other action by, and no notice to or filing with, any governmental authority is required in connection with the execution, delivery or performance of this letter agreement except as would not reasonably be expected to, individually or in the aggregate, materially affect Investor’s ability to enter into this letter agreement or perform its obligations hereunder. </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f.From the date hereof until the termination of this letter agreement in accordance with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below, the Investor has, and until such time will maintain, uncalled capital commitments or cash funds on hand in an amount not less than the Commitment.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Enforceability</w:t>
      </w:r>
      <w:r>
        <w:rPr>
          <w:rFonts w:ascii="Times New Roman;serif" w:hAnsi="Times New Roman;serif"/>
          <w:b w:val="false"/>
          <w:color w:val="000000"/>
          <w:sz w:val="24"/>
        </w:rPr>
        <w:t>. This letter agreement may only be enforced by the Company and Investor. No creditors of the Company or Investor shall have any right to enforce this letter agreement. The Company shall be entitled to specific performance of the terms hereof, including an order compelling Investor to fund the Commitment, in addition to any other remedy available at law or in equity, and Investor waives any requirement for the securing or posting of a bond in connection therewith.</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No Modification; Entire Agreement</w:t>
      </w:r>
      <w:r>
        <w:rPr>
          <w:rFonts w:ascii="Times New Roman;serif" w:hAnsi="Times New Roman;serif"/>
          <w:b w:val="false"/>
          <w:color w:val="000000"/>
          <w:sz w:val="24"/>
        </w:rPr>
        <w:t xml:space="preserve">. This letter agreement may not be amended, terminated, waived or otherwise modified without the prior written consent of the Company and Investor. This letter agreement constitutes the sole agreement, and supersedes all prior agreements, representations, warranties, understandings and statements, written or oral, between the Company and Investor with respect to the transactions contemplated hereby. No assignment of any rights or obligations hereunder shall be permitted without the prior written consent of the other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Investor may assign its obligations hereunder to an affiliate of the Investor,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assignment shall not relieve Investor of its obligations hereunder. No waiver by any party of any breach or violation of, or default under, this letter agreement, will be deemed to extend to any prior or subsequent breach, violation or default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Governing Law; Jurisdiction; Venue</w:t>
      </w:r>
      <w:r>
        <w:rPr>
          <w:rFonts w:ascii="Times New Roman;serif" w:hAnsi="Times New Roman;serif"/>
          <w:b w:val="false"/>
          <w:color w:val="000000"/>
          <w:sz w:val="24"/>
        </w:rPr>
        <w:t>. This letter agreement shall be governed by, and construed in accordance with, the laws of the State of Delaware, regardless of the laws that might otherwise govern under applicable principles of conflicts of laws thereof. Each party irrevocably submits to the exclusive jurisdiction of the Court of Chancery of the State of Delaware (or, if such court lacks subject matter jurisdiction, the other state or federal courts located in Delaware) in any action arising out of this letter agreement, waives any objection to such forum, and consents to service of process by registered or certified mail to the address set forth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OF THE PARTIES HERETO IRREVOCABLY WAIVES TO THE FULLEST EXTENT PERMITTED BY APPLICABLE LAW ANY AND ALL RIGHT SUCH PARTY MAY HAVE TO TRIAL BY JURY IN ANY LEGAL ACTION, SUIT OR PROCEEDING BETWEEN THE PARTIES HERETO ARISING OUT OF, BASED UPON OR RELATING TO THIS LETTER AGREEMENT OR THE NEGOTIATION, EXECUTION OR PERFORMANCE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letter agreement may be executed in multiple counterparts (including by facsimile or PDF), all of which shall be considered one and the same agreement and shall become effective when one or more such counterparts have been signed by each of the parties and delivered to the other parties.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Third Party Beneficiaries</w:t>
      </w:r>
      <w:r>
        <w:rPr>
          <w:rFonts w:ascii="Times New Roman;serif" w:hAnsi="Times New Roman;serif"/>
          <w:b w:val="false"/>
          <w:color w:val="000000"/>
          <w:sz w:val="24"/>
        </w:rPr>
        <w:t>. This letter agreement shall inure to the benefit of and be binding upon the Company and Investor. Nothing in this letter agreement, express or implied, is intended to confer upon any Person other than the Company and Investor any rights or remedies under, or by reason of, this letter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Registration Rights</w:t>
      </w:r>
      <w:r>
        <w:rPr>
          <w:rFonts w:ascii="Times New Roman;serif" w:hAnsi="Times New Roman;serif"/>
          <w:b w:val="false"/>
          <w:color w:val="000000"/>
          <w:sz w:val="24"/>
        </w:rPr>
        <w:t>. At or prior to the Closing, the Company and Investor (or its applicable affiliate) shall enter into a registration rights agreement, in form and substance reasonably acceptable to each of the Company and Investor, providing Investor (or its applicable affiliate) with customary demand and piggyback registration rights with respect to the Common Stock purchased hereunder (the “</w:t>
      </w:r>
      <w:r>
        <w:rPr>
          <w:rFonts w:ascii="Times New Roman;serif" w:hAnsi="Times New Roman;serif"/>
          <w:b w:val="false"/>
          <w:color w:val="000000"/>
          <w:sz w:val="24"/>
          <w:u w:val="single"/>
        </w:rPr>
        <w:t>Registration Rights Agreement</w:t>
      </w:r>
      <w:r>
        <w:rPr>
          <w:color w:val="000000"/>
        </w:rPr>
        <w:t>”</w:t>
      </w:r>
      <w:r>
        <w:rPr>
          <w:rFonts w:ascii="Times New Roman;serif" w:hAnsi="Times New Roman;serif"/>
          <w:b w:val="false"/>
          <w:color w:val="000000"/>
          <w:sz w:val="24"/>
        </w:rPr>
        <w:t>). The obligation of Investor to fund the Commitment shall be conditioned upon the execution and delivery of the Registration Rights Agreement at or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Termination</w:t>
      </w:r>
      <w:r>
        <w:rPr>
          <w:rFonts w:ascii="Times New Roman;serif" w:hAnsi="Times New Roman;serif"/>
          <w:b w:val="false"/>
          <w:color w:val="000000"/>
          <w:sz w:val="24"/>
        </w:rPr>
        <w:t>. This letter agreement, and the obligation of Investor to fund the Commitment to the Company, will terminate automatically and immediately upon the earliest to occur of: (a) the valid termination of the Merger Agreement in accordance with its terms, (b) the consummation of the Closing and the funding in full of the Commitment, (c) the mutual written agreement of Investor and the Company, or (d) December 31, 2026 (the “Outside Date”), if the Closing has not occurred on or prior to such date.</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 Recourse</w:t>
      </w:r>
      <w:r>
        <w:rPr>
          <w:rFonts w:ascii="Times New Roman;serif" w:hAnsi="Times New Roman;serif"/>
          <w:b w:val="false"/>
          <w:color w:val="000000"/>
          <w:sz w:val="24"/>
        </w:rPr>
        <w:t>. Notwithstanding anything that may be expressed or implied in this letter agreement, the Company acknowledges and agrees that no Person other than Investor has obligations hereunder and that no recourse shall be had against, and no personal liability shall attach to, Investor’s direct or indirect equityholders, directors, officers, employees, agents, affiliates, members, managers, general or limited partners, controlling person, trustee, assignees or other related Persons (collectively, the “</w:t>
      </w:r>
      <w:r>
        <w:rPr>
          <w:rFonts w:ascii="Times New Roman;serif" w:hAnsi="Times New Roman;serif"/>
          <w:b w:val="false"/>
          <w:color w:val="000000"/>
          <w:sz w:val="24"/>
          <w:u w:val="single"/>
        </w:rPr>
        <w:t>Non-Recourse Parties</w:t>
      </w:r>
      <w:r>
        <w:rPr>
          <w:color w:val="000000"/>
        </w:rPr>
        <w:t>”</w:t>
      </w:r>
      <w:r>
        <w:rPr>
          <w:rFonts w:ascii="Times New Roman;serif" w:hAnsi="Times New Roman;serif"/>
          <w:b w:val="false"/>
          <w:color w:val="000000"/>
          <w:sz w:val="24"/>
        </w:rPr>
        <w:t>) in connection with this letter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The Company agrees to indemnify and to hold harmless Investor and each of its affiliates (collectively, the “</w:t>
      </w:r>
      <w:r>
        <w:rPr>
          <w:rFonts w:ascii="Times New Roman;serif" w:hAnsi="Times New Roman;serif"/>
          <w:b w:val="false"/>
          <w:color w:val="000000"/>
          <w:sz w:val="24"/>
          <w:u w:val="single"/>
        </w:rPr>
        <w:t>Indemnified Persons</w:t>
      </w:r>
      <w:r>
        <w:rPr>
          <w:color w:val="000000"/>
        </w:rPr>
        <w:t>”</w:t>
      </w:r>
      <w:r>
        <w:rPr>
          <w:rFonts w:ascii="Times New Roman;serif" w:hAnsi="Times New Roman;serif"/>
          <w:b w:val="false"/>
          <w:color w:val="000000"/>
          <w:sz w:val="24"/>
        </w:rPr>
        <w:t xml:space="preserve">) from and against any and all third-party actions, suits, proceedings (including any investigations or inquiries), losses, claims, damages, liabilities or expenses of any kind or nature whatsoever which may be incurred by or asserted against the Indemnified Persons as a result of or arising out of any breach by the Company of its representations, warranties, covenants or obligations under this letter agreement or otherwise arising out of the transactions contemplated by this letter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will not apply to any losses of an Indemnified Person to the extent found by a final decision of a court of competent jurisdiction to have resulted from (i) the gross negligence, willful misconduct or fraud of such Indemnified Person, or (ii) any breach by Investor of its representations, warranties, covenants or obligations under this letter agreement. The Company further agrees to pay or reimburse to any Indemnified Person upon demand reasonable and documented out-of-pocket legal or other third-party expenses incurred by the Indemnified Person in connection with investigating, defending, or preparing to defend any such action, suit, claim or proceeding (including any inquiry or investigation). Notwithstanding anything to the contrary herein, in no event shall the Company be liable under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for any lost profits, lost revenues, loss of business opportunity or diminution in value. The provisions of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are independent of all other obligations of the Company hereunder and shall survive termination or expiration of the commitment embodied in this letter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13</w:t>
      </w:r>
      <w:r>
        <w:rPr>
          <w:rFonts w:ascii="Times New Roman;serif" w:hAnsi="Times New Roman;serif"/>
          <w:b w:val="false"/>
          <w:color w:val="000000"/>
          <w:sz w:val="24"/>
        </w:rPr>
        <w:t>, each party shall be responsible for its own costs and expenses, including attorneys' fees, incurred in connection with this letter agreement and the transactions contemplated hereby.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Sincerely,</w:t>
      </w:r>
    </w:p>
    <w:tbl>
      <w:tblPr>
        <w:tblW w:w="3339" w:type="dxa"/>
        <w:jc w:val="right"/>
        <w:tblInd w:w="0" w:type="dxa"/>
        <w:tblLayout w:type="fixed"/>
        <w:tblCellMar>
          <w:top w:w="28" w:type="dxa"/>
          <w:left w:w="28" w:type="dxa"/>
          <w:bottom w:w="28" w:type="dxa"/>
          <w:right w:w="28" w:type="dxa"/>
        </w:tblCellMar>
      </w:tblPr>
      <w:tblGrid>
        <w:gridCol w:w="238"/>
        <w:gridCol w:w="210"/>
        <w:gridCol w:w="210"/>
        <w:gridCol w:w="254"/>
        <w:gridCol w:w="254"/>
        <w:gridCol w:w="254"/>
        <w:gridCol w:w="557"/>
        <w:gridCol w:w="557"/>
        <w:gridCol w:w="80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vAlign w:val="center"/>
          </w:tcPr>
          <w:p>
            <w:pPr>
              <w:pStyle w:val="TableContents"/>
              <w:bidi w:val="0"/>
              <w:spacing w:before="0" w:after="283"/>
              <w:jc w:val="left"/>
              <w:rPr>
                <w:sz w:val="4"/>
                <w:szCs w:val="4"/>
              </w:rPr>
            </w:pPr>
            <w:r>
              <w:rPr>
                <w:sz w:val="4"/>
                <w:szCs w:val="4"/>
              </w:rPr>
            </w:r>
          </w:p>
        </w:tc>
        <w:tc>
          <w:tcPr>
            <w:tcW w:w="2681" w:type="dxa"/>
            <w:gridSpan w:val="6"/>
            <w:tcBorders/>
          </w:tcPr>
          <w:p>
            <w:pPr>
              <w:pStyle w:val="TableContents"/>
              <w:bidi w:val="0"/>
              <w:spacing w:before="0" w:after="283"/>
              <w:jc w:val="left"/>
              <w:rPr>
                <w:sz w:val="4"/>
                <w:szCs w:val="4"/>
              </w:rPr>
            </w:pPr>
            <w:r>
              <w:rPr>
                <w:sz w:val="4"/>
                <w:szCs w:val="4"/>
              </w:rPr>
            </w:r>
          </w:p>
        </w:tc>
      </w:tr>
      <w:tr>
        <w:trPr/>
        <w:tc>
          <w:tcPr>
            <w:tcW w:w="33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CPIF II-9 LIMITED</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Cullinane</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Cullinane</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Authorized signatory </w:t>
            </w:r>
          </w:p>
        </w:tc>
      </w:tr>
    </w:tbl>
    <w:p>
      <w:pPr>
        <w:pStyle w:val="TextBody"/>
        <w:bidi w:val="0"/>
        <w:spacing w:before="0" w:after="120"/>
        <w:jc w:val="both"/>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Agreed to and accepted:</w:t>
      </w:r>
    </w:p>
    <w:p>
      <w:pPr>
        <w:pStyle w:val="TextBody"/>
        <w:bidi w:val="0"/>
        <w:spacing w:before="0" w:after="0"/>
        <w:jc w:val="left"/>
        <w:rPr/>
      </w:pPr>
      <w:r>
        <w:rPr/>
      </w:r>
    </w:p>
    <w:tbl>
      <w:tblPr>
        <w:tblW w:w="4413" w:type="dxa"/>
        <w:jc w:val="right"/>
        <w:tblInd w:w="0" w:type="dxa"/>
        <w:tblLayout w:type="fixed"/>
        <w:tblCellMar>
          <w:top w:w="28" w:type="dxa"/>
          <w:left w:w="28" w:type="dxa"/>
          <w:bottom w:w="28" w:type="dxa"/>
          <w:right w:w="28" w:type="dxa"/>
        </w:tblCellMar>
      </w:tblPr>
      <w:tblGrid>
        <w:gridCol w:w="378"/>
        <w:gridCol w:w="333"/>
        <w:gridCol w:w="333"/>
        <w:gridCol w:w="333"/>
        <w:gridCol w:w="333"/>
        <w:gridCol w:w="333"/>
        <w:gridCol w:w="685"/>
        <w:gridCol w:w="685"/>
        <w:gridCol w:w="1000"/>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441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Senti Biosciences Holdings, Inc.</w:t>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369" w:type="dxa"/>
            <w:gridSpan w:val="6"/>
            <w:tcBorders/>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Lu</w:t>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Its:</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24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34080</Words>
  <Characters>177084</Characters>
  <CharactersWithSpaces>210973</CharactersWithSpaces>
  <Paragraphs>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