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June 18, 2026</w:t>
      </w:r>
    </w:p>
    <w:p>
      <w:pPr>
        <w:spacing w:after="0" w:line="4"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838200</wp:posOffset>
            </wp:positionH>
            <wp:positionV relativeFrom="paragraph">
              <wp:posOffset>50800</wp:posOffset>
            </wp:positionV>
            <wp:extent cx="54978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7830" cy="698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84455</wp:posOffset>
            </wp:positionV>
            <wp:extent cx="54978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7830" cy="6985"/>
                    </a:xfrm>
                    <a:prstGeom prst="rect">
                      <a:avLst/>
                    </a:prstGeom>
                    <a:noFill/>
                  </pic:spPr>
                </pic:pic>
              </a:graphicData>
            </a:graphic>
          </wp:anchor>
        </w:drawing>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99060</wp:posOffset>
            </wp:positionV>
            <wp:extent cx="1151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100330</wp:posOffset>
            </wp:positionV>
            <wp:extent cx="11518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SENTI BIOSCIENCES HOLDINGS, INC.</w:t>
      </w:r>
    </w:p>
    <w:p>
      <w:pPr>
        <w:spacing w:after="0" w:line="3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98425</wp:posOffset>
            </wp:positionV>
            <wp:extent cx="11518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5" w:lineRule="exact"/>
        <w:rPr>
          <w:sz w:val="24"/>
          <w:szCs w:val="24"/>
          <w:color w:val="auto"/>
        </w:rPr>
      </w:pPr>
    </w:p>
    <w:tbl>
      <w:tblPr>
        <w:tblLayout w:type="fixed"/>
        <w:tblInd w:w="2140" w:type="dxa"/>
        <w:tblCellMar>
          <w:top w:w="0" w:type="dxa"/>
          <w:left w:w="0" w:type="dxa"/>
          <w:bottom w:w="0" w:type="dxa"/>
          <w:right w:w="0" w:type="dxa"/>
        </w:tblCellMar>
      </w:tblPr>
      <w:tr>
        <w:trPr>
          <w:trHeight w:val="126"/>
        </w:trPr>
        <w:tc>
          <w:tcPr>
            <w:tcW w:w="2120" w:type="dxa"/>
            <w:vAlign w:val="bottom"/>
          </w:tcPr>
          <w:p>
            <w:pPr>
              <w:jc w:val="center"/>
              <w:ind w:right="768"/>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302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9"/>
              </w:rPr>
              <w:t>2836</w:t>
            </w:r>
          </w:p>
        </w:tc>
        <w:tc>
          <w:tcPr>
            <w:tcW w:w="1700" w:type="dxa"/>
            <w:vAlign w:val="bottom"/>
          </w:tcPr>
          <w:p>
            <w:pPr>
              <w:jc w:val="center"/>
              <w:ind w:left="868"/>
              <w:spacing w:after="0"/>
              <w:rPr>
                <w:sz w:val="20"/>
                <w:szCs w:val="20"/>
                <w:color w:val="auto"/>
              </w:rPr>
            </w:pPr>
            <w:r>
              <w:rPr>
                <w:rFonts w:ascii="Times New Roman" w:cs="Times New Roman" w:eastAsia="Times New Roman" w:hAnsi="Times New Roman"/>
                <w:sz w:val="11"/>
                <w:szCs w:val="11"/>
                <w:b w:val="1"/>
                <w:bCs w:val="1"/>
                <w:color w:val="auto"/>
              </w:rPr>
              <w:t>42-1912154</w:t>
            </w:r>
          </w:p>
        </w:tc>
      </w:tr>
      <w:tr>
        <w:trPr>
          <w:trHeight w:val="106"/>
        </w:trPr>
        <w:tc>
          <w:tcPr>
            <w:tcW w:w="2120" w:type="dxa"/>
            <w:vAlign w:val="bottom"/>
          </w:tcPr>
          <w:p>
            <w:pPr>
              <w:jc w:val="center"/>
              <w:ind w:right="788"/>
              <w:spacing w:after="0" w:line="106" w:lineRule="exact"/>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3020" w:type="dxa"/>
            <w:vAlign w:val="bottom"/>
          </w:tcPr>
          <w:p>
            <w:pPr>
              <w:jc w:val="center"/>
              <w:ind w:right="28"/>
              <w:spacing w:after="0" w:line="106" w:lineRule="exact"/>
              <w:rPr>
                <w:sz w:val="20"/>
                <w:szCs w:val="20"/>
                <w:color w:val="auto"/>
              </w:rPr>
            </w:pPr>
            <w:r>
              <w:rPr>
                <w:rFonts w:ascii="Times New Roman" w:cs="Times New Roman" w:eastAsia="Times New Roman" w:hAnsi="Times New Roman"/>
                <w:sz w:val="10"/>
                <w:szCs w:val="10"/>
                <w:b w:val="1"/>
                <w:bCs w:val="1"/>
                <w:color w:val="auto"/>
                <w:w w:val="98"/>
              </w:rPr>
              <w:t>(Primary Standard Industrial</w:t>
            </w:r>
          </w:p>
        </w:tc>
        <w:tc>
          <w:tcPr>
            <w:tcW w:w="1700" w:type="dxa"/>
            <w:vAlign w:val="bottom"/>
          </w:tcPr>
          <w:p>
            <w:pPr>
              <w:jc w:val="center"/>
              <w:ind w:left="868"/>
              <w:spacing w:after="0" w:line="106"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30"/>
        </w:trPr>
        <w:tc>
          <w:tcPr>
            <w:tcW w:w="2120" w:type="dxa"/>
            <w:vAlign w:val="bottom"/>
          </w:tcPr>
          <w:p>
            <w:pPr>
              <w:jc w:val="center"/>
              <w:ind w:right="768"/>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302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w w:val="98"/>
              </w:rPr>
              <w:t>Classification Code Number)</w:t>
            </w:r>
          </w:p>
        </w:tc>
        <w:tc>
          <w:tcPr>
            <w:tcW w:w="1700" w:type="dxa"/>
            <w:vAlign w:val="bottom"/>
          </w:tcPr>
          <w:p>
            <w:pPr>
              <w:jc w:val="center"/>
              <w:ind w:left="868"/>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2 Corporate Drive, First Floor</w:t>
      </w:r>
    </w:p>
    <w:p>
      <w:pPr>
        <w:jc w:val="center"/>
        <w:ind w:right="-1120"/>
        <w:spacing w:after="0" w:line="229" w:lineRule="auto"/>
        <w:rPr>
          <w:sz w:val="20"/>
          <w:szCs w:val="20"/>
          <w:color w:val="auto"/>
        </w:rPr>
      </w:pPr>
      <w:r>
        <w:rPr>
          <w:rFonts w:ascii="Times New Roman" w:cs="Times New Roman" w:eastAsia="Times New Roman" w:hAnsi="Times New Roman"/>
          <w:sz w:val="11"/>
          <w:szCs w:val="11"/>
          <w:b w:val="1"/>
          <w:bCs w:val="1"/>
          <w:color w:val="auto"/>
        </w:rPr>
        <w:t>South San Francisco, CA 94080</w:t>
      </w:r>
    </w:p>
    <w:p>
      <w:pPr>
        <w:jc w:val="center"/>
        <w:ind w:right="-1120"/>
        <w:spacing w:after="0" w:line="225" w:lineRule="auto"/>
        <w:rPr>
          <w:sz w:val="20"/>
          <w:szCs w:val="20"/>
          <w:color w:val="auto"/>
        </w:rPr>
      </w:pPr>
      <w:r>
        <w:rPr>
          <w:rFonts w:ascii="Times New Roman" w:cs="Times New Roman" w:eastAsia="Times New Roman" w:hAnsi="Times New Roman"/>
          <w:sz w:val="11"/>
          <w:szCs w:val="11"/>
          <w:b w:val="1"/>
          <w:bCs w:val="1"/>
          <w:color w:val="auto"/>
        </w:rPr>
        <w:t>(650) 239-2030</w:t>
      </w:r>
    </w:p>
    <w:p>
      <w:pPr>
        <w:ind w:left="322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90805</wp:posOffset>
            </wp:positionV>
            <wp:extent cx="11518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6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Timothy Lu, M.D., Ph.D.</w:t>
      </w:r>
    </w:p>
    <w:p>
      <w:pPr>
        <w:jc w:val="center"/>
        <w:ind w:right="-1120"/>
        <w:spacing w:after="0" w:line="229"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Senti Biosciences Holdings, Inc.</w:t>
      </w:r>
    </w:p>
    <w:p>
      <w:pPr>
        <w:jc w:val="center"/>
        <w:ind w:right="-1120"/>
        <w:spacing w:after="0" w:line="222" w:lineRule="auto"/>
        <w:rPr>
          <w:sz w:val="20"/>
          <w:szCs w:val="20"/>
          <w:color w:val="auto"/>
        </w:rPr>
      </w:pPr>
      <w:r>
        <w:rPr>
          <w:rFonts w:ascii="Times New Roman" w:cs="Times New Roman" w:eastAsia="Times New Roman" w:hAnsi="Times New Roman"/>
          <w:sz w:val="11"/>
          <w:szCs w:val="11"/>
          <w:b w:val="1"/>
          <w:bCs w:val="1"/>
          <w:color w:val="auto"/>
        </w:rPr>
        <w:t>2 Corporate Drive, First Floor</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South San Francisco, CA 94080</w:t>
      </w:r>
    </w:p>
    <w:p>
      <w:pPr>
        <w:jc w:val="center"/>
        <w:ind w:right="-1120"/>
        <w:spacing w:after="0" w:line="225" w:lineRule="auto"/>
        <w:rPr>
          <w:sz w:val="20"/>
          <w:szCs w:val="20"/>
          <w:color w:val="auto"/>
        </w:rPr>
      </w:pPr>
      <w:r>
        <w:rPr>
          <w:rFonts w:ascii="Times New Roman" w:cs="Times New Roman" w:eastAsia="Times New Roman" w:hAnsi="Times New Roman"/>
          <w:sz w:val="11"/>
          <w:szCs w:val="11"/>
          <w:b w:val="1"/>
          <w:bCs w:val="1"/>
          <w:color w:val="auto"/>
        </w:rPr>
        <w:t>Telephone: (650) 239-2030</w:t>
      </w: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77470</wp:posOffset>
            </wp:positionV>
            <wp:extent cx="11518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Kirt W. Shuldberg</w:t>
      </w:r>
    </w:p>
    <w:p>
      <w:pPr>
        <w:jc w:val="center"/>
        <w:ind w:right="-1120"/>
        <w:spacing w:after="0" w:line="228" w:lineRule="auto"/>
        <w:rPr>
          <w:sz w:val="20"/>
          <w:szCs w:val="20"/>
          <w:color w:val="auto"/>
        </w:rPr>
      </w:pPr>
      <w:r>
        <w:rPr>
          <w:rFonts w:ascii="Times New Roman" w:cs="Times New Roman" w:eastAsia="Times New Roman" w:hAnsi="Times New Roman"/>
          <w:sz w:val="11"/>
          <w:szCs w:val="11"/>
          <w:b w:val="1"/>
          <w:bCs w:val="1"/>
          <w:color w:val="auto"/>
        </w:rPr>
        <w:t>Keith J. Scherer</w:t>
      </w:r>
    </w:p>
    <w:p>
      <w:pPr>
        <w:jc w:val="center"/>
        <w:ind w:right="-1120"/>
        <w:spacing w:after="0" w:line="222" w:lineRule="auto"/>
        <w:rPr>
          <w:sz w:val="20"/>
          <w:szCs w:val="20"/>
          <w:color w:val="auto"/>
        </w:rPr>
      </w:pPr>
      <w:r>
        <w:rPr>
          <w:rFonts w:ascii="Times New Roman" w:cs="Times New Roman" w:eastAsia="Times New Roman" w:hAnsi="Times New Roman"/>
          <w:sz w:val="11"/>
          <w:szCs w:val="11"/>
          <w:b w:val="1"/>
          <w:bCs w:val="1"/>
          <w:color w:val="auto"/>
        </w:rPr>
        <w:t>Alexa Belonick</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Gunderson Dettmer Stough Villeneuve Franklin &amp; Hachigian, LLP</w:t>
      </w:r>
    </w:p>
    <w:p>
      <w:pPr>
        <w:jc w:val="center"/>
        <w:ind w:right="-1120"/>
        <w:spacing w:after="0" w:line="222" w:lineRule="auto"/>
        <w:rPr>
          <w:sz w:val="20"/>
          <w:szCs w:val="20"/>
          <w:color w:val="auto"/>
        </w:rPr>
      </w:pPr>
      <w:r>
        <w:rPr>
          <w:rFonts w:ascii="Times New Roman" w:cs="Times New Roman" w:eastAsia="Times New Roman" w:hAnsi="Times New Roman"/>
          <w:sz w:val="11"/>
          <w:szCs w:val="11"/>
          <w:b w:val="1"/>
          <w:bCs w:val="1"/>
          <w:color w:val="auto"/>
        </w:rPr>
        <w:t>One Bush Plaza, Suite 1200</w:t>
      </w:r>
    </w:p>
    <w:p>
      <w:pPr>
        <w:jc w:val="center"/>
        <w:ind w:right="-1120"/>
        <w:spacing w:after="0" w:line="221" w:lineRule="auto"/>
        <w:rPr>
          <w:sz w:val="20"/>
          <w:szCs w:val="20"/>
          <w:color w:val="auto"/>
        </w:rPr>
      </w:pPr>
      <w:r>
        <w:rPr>
          <w:rFonts w:ascii="Times New Roman" w:cs="Times New Roman" w:eastAsia="Times New Roman" w:hAnsi="Times New Roman"/>
          <w:sz w:val="11"/>
          <w:szCs w:val="11"/>
          <w:b w:val="1"/>
          <w:bCs w:val="1"/>
          <w:color w:val="auto"/>
        </w:rPr>
        <w:t>San Francisco, CA 94104</w:t>
      </w: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(858) 436-8000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71120</wp:posOffset>
            </wp:positionV>
            <wp:extent cx="11518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1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this Registration Statement becomes effective.</w:t>
      </w:r>
    </w:p>
    <w:p>
      <w:pPr>
        <w:spacing w:after="0" w:line="30" w:lineRule="exact"/>
        <w:rPr>
          <w:sz w:val="24"/>
          <w:szCs w:val="24"/>
          <w:color w:val="auto"/>
        </w:rPr>
      </w:pPr>
    </w:p>
    <w:p>
      <w:pPr>
        <w:ind w:left="132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80" w:lineRule="exact"/>
        <w:rPr>
          <w:sz w:val="24"/>
          <w:szCs w:val="24"/>
          <w:color w:val="auto"/>
        </w:rPr>
      </w:pPr>
    </w:p>
    <w:p>
      <w:pPr>
        <w:ind w:left="1320" w:right="419"/>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26" w:lineRule="exact"/>
        <w:rPr>
          <w:sz w:val="24"/>
          <w:szCs w:val="24"/>
          <w:color w:val="auto"/>
        </w:rPr>
      </w:pPr>
    </w:p>
    <w:p>
      <w:pPr>
        <w:ind w:left="1320" w:right="4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6" w:lineRule="exact"/>
        <w:rPr>
          <w:sz w:val="24"/>
          <w:szCs w:val="24"/>
          <w:color w:val="auto"/>
        </w:rPr>
      </w:pPr>
    </w:p>
    <w:p>
      <w:pPr>
        <w:ind w:left="1320" w:right="45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6" w:lineRule="exact"/>
        <w:rPr>
          <w:sz w:val="24"/>
          <w:szCs w:val="24"/>
          <w:color w:val="auto"/>
        </w:rPr>
      </w:pPr>
    </w:p>
    <w:p>
      <w:pPr>
        <w:ind w:left="1320" w:right="4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26" w:lineRule="exact"/>
        <w:rPr>
          <w:sz w:val="24"/>
          <w:szCs w:val="24"/>
          <w:color w:val="auto"/>
        </w:rPr>
      </w:pPr>
    </w:p>
    <w:p>
      <w:pPr>
        <w:ind w:left="1320" w:right="239"/>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6" w:lineRule="exact"/>
        <w:rPr>
          <w:sz w:val="24"/>
          <w:szCs w:val="24"/>
          <w:color w:val="auto"/>
        </w:rPr>
      </w:pPr>
    </w:p>
    <w:p>
      <w:pPr>
        <w:ind w:left="1320" w:right="359"/>
        <w:spacing w:after="0" w:line="259"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320" w:type="dxa"/>
        <w:tblCellMar>
          <w:top w:w="0" w:type="dxa"/>
          <w:left w:w="0" w:type="dxa"/>
          <w:bottom w:w="0" w:type="dxa"/>
          <w:right w:w="0" w:type="dxa"/>
        </w:tblCellMar>
      </w:tblPr>
      <w:tr>
        <w:trPr>
          <w:trHeight w:val="180"/>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540"/>
              <w:spacing w:after="0"/>
              <w:rPr>
                <w:sz w:val="20"/>
                <w:szCs w:val="20"/>
                <w:color w:val="auto"/>
              </w:rPr>
            </w:pPr>
            <w:r>
              <w:rPr>
                <w:rFonts w:ascii="Times New Roman" w:cs="Times New Roman" w:eastAsia="Times New Roman" w:hAnsi="Times New Roman"/>
                <w:sz w:val="11"/>
                <w:szCs w:val="11"/>
                <w:color w:val="auto"/>
              </w:rPr>
              <w:t>Accelerated filer</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88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5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80" w:type="dxa"/>
            <w:vAlign w:val="bottom"/>
          </w:tcPr>
          <w:p>
            <w:pPr>
              <w:ind w:left="2540"/>
              <w:spacing w:after="0"/>
              <w:rPr>
                <w:sz w:val="20"/>
                <w:szCs w:val="20"/>
                <w:color w:val="auto"/>
              </w:rPr>
            </w:pPr>
            <w:r>
              <w:rPr>
                <w:rFonts w:ascii="Times New Roman" w:cs="Times New Roman" w:eastAsia="Times New Roman" w:hAnsi="Times New Roman"/>
                <w:sz w:val="11"/>
                <w:szCs w:val="11"/>
                <w:color w:val="auto"/>
              </w:rPr>
              <w:t>Emerging growth company</w:t>
            </w:r>
          </w:p>
        </w:tc>
        <w:tc>
          <w:tcPr>
            <w:tcW w:w="380" w:type="dxa"/>
            <w:vAlign w:val="bottom"/>
          </w:tcPr>
          <w:p>
            <w:pPr>
              <w:ind w:left="2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 w:lineRule="exact"/>
        <w:rPr>
          <w:sz w:val="24"/>
          <w:szCs w:val="24"/>
          <w:color w:val="auto"/>
        </w:rPr>
      </w:pPr>
    </w:p>
    <w:p>
      <w:pPr>
        <w:ind w:left="1320" w:right="459"/>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67945</wp:posOffset>
            </wp:positionV>
            <wp:extent cx="11518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100" w:lineRule="exact"/>
        <w:rPr>
          <w:sz w:val="24"/>
          <w:szCs w:val="24"/>
          <w:color w:val="auto"/>
        </w:rPr>
      </w:pPr>
    </w:p>
    <w:p>
      <w:pPr>
        <w:ind w:left="1320" w:right="239"/>
        <w:spacing w:after="0" w:line="236" w:lineRule="auto"/>
        <w:rPr>
          <w:sz w:val="20"/>
          <w:szCs w:val="20"/>
          <w:color w:val="auto"/>
        </w:rPr>
      </w:pPr>
      <w:r>
        <w:rPr>
          <w:rFonts w:ascii="Times New Roman" w:cs="Times New Roman" w:eastAsia="Times New Roman" w:hAnsi="Times New Roman"/>
          <w:sz w:val="11"/>
          <w:szCs w:val="11"/>
          <w:b w:val="1"/>
          <w:bCs w:val="1"/>
          <w:color w:val="auto"/>
        </w:rPr>
        <w:t>The registrant (the “Registrant”) hereby amends this registration statement, or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838200</wp:posOffset>
            </wp:positionH>
            <wp:positionV relativeFrom="paragraph">
              <wp:posOffset>66675</wp:posOffset>
            </wp:positionV>
            <wp:extent cx="54978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830" cy="698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100330</wp:posOffset>
            </wp:positionV>
            <wp:extent cx="54978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783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9" w:lineRule="exact"/>
        <w:rPr>
          <w:sz w:val="20"/>
          <w:szCs w:val="20"/>
          <w:color w:val="auto"/>
        </w:rPr>
      </w:pPr>
    </w:p>
    <w:tbl>
      <w:tblPr>
        <w:tblLayout w:type="fixed"/>
        <w:tblInd w:w="1486" w:type="dxa"/>
        <w:tblCellMar>
          <w:top w:w="0" w:type="dxa"/>
          <w:left w:w="0" w:type="dxa"/>
          <w:bottom w:w="0" w:type="dxa"/>
          <w:right w:w="0" w:type="dxa"/>
        </w:tblCellMar>
      </w:tblPr>
      <w:tr>
        <w:trPr>
          <w:trHeight w:val="260"/>
        </w:trPr>
        <w:tc>
          <w:tcPr>
            <w:tcW w:w="149" w:type="dxa"/>
            <w:vAlign w:val="bottom"/>
            <w:textDirection w:val="btLr"/>
          </w:tcPr>
          <w:p>
            <w:pPr>
              <w:spacing w:after="0"/>
              <w:rPr>
                <w:sz w:val="20"/>
                <w:szCs w:val="20"/>
                <w:color w:val="auto"/>
              </w:rPr>
            </w:pPr>
            <w:r>
              <w:rPr>
                <w:rFonts w:ascii="Times New Roman" w:cs="Times New Roman" w:eastAsia="Times New Roman" w:hAnsi="Times New Roman"/>
                <w:sz w:val="13"/>
                <w:szCs w:val="13"/>
                <w:b w:val="1"/>
                <w:bCs w:val="1"/>
                <w:color w:val="FF4338"/>
              </w:rPr>
              <w:t>does</w:t>
            </w:r>
          </w:p>
        </w:tc>
      </w:tr>
    </w:tbl>
    <w:p>
      <w:pPr>
        <w:spacing w:after="0" w:line="40" w:lineRule="exact"/>
        <w:rPr>
          <w:sz w:val="20"/>
          <w:szCs w:val="20"/>
          <w:color w:val="auto"/>
        </w:rPr>
      </w:pPr>
    </w:p>
    <w:tbl>
      <w:tblPr>
        <w:tblLayout w:type="fixed"/>
        <w:tblInd w:w="1260" w:type="dxa"/>
        <w:tblCellMar>
          <w:top w:w="0" w:type="dxa"/>
          <w:left w:w="0" w:type="dxa"/>
          <w:bottom w:w="0" w:type="dxa"/>
          <w:right w:w="0" w:type="dxa"/>
        </w:tblCellMar>
      </w:tblPr>
      <w:tr>
        <w:trPr>
          <w:trHeight w:val="8900"/>
        </w:trPr>
        <w:tc>
          <w:tcPr>
            <w:tcW w:w="545" w:type="dxa"/>
            <w:vAlign w:val="bottom"/>
            <w:textDirection w:val="btLr"/>
          </w:tcPr>
          <w:p>
            <w:pPr>
              <w:spacing w:after="0" w:line="271" w:lineRule="auto"/>
              <w:rPr>
                <w:sz w:val="20"/>
                <w:szCs w:val="20"/>
                <w:color w:val="auto"/>
              </w:rPr>
            </w:pPr>
            <w:r>
              <w:rPr>
                <w:rFonts w:ascii="Times New Roman" w:cs="Times New Roman" w:eastAsia="Times New Roman" w:hAnsi="Times New Roman"/>
                <w:sz w:val="14"/>
                <w:szCs w:val="14"/>
                <w:b w:val="1"/>
                <w:bCs w:val="1"/>
                <w:color w:val="FF4338"/>
              </w:rPr>
              <w:t>not constitute the solicitation of an offer to buy these securities in any jurisdiction where the offer or sale is not permitted. statement filed with the U.S. Securities and Exchange Commission is effective. This preliminary prospectus is not an offer to sell these securities and The information in this preliminary prospectus is not complete and may be changed. These securities may not be issued or sold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FF4338"/>
        </w:rPr>
        <w:t>SUBJECT TO COMPLETION, PRELIMINARY PROSPECTUS DATED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-596265</wp:posOffset>
            </wp:positionV>
            <wp:extent cx="720026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76835</wp:posOffset>
            </wp:positionV>
            <wp:extent cx="1852930" cy="478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2930"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31"/>
          <w:szCs w:val="31"/>
          <w:b w:val="1"/>
          <w:bCs w:val="1"/>
          <w:color w:val="auto"/>
        </w:rPr>
        <w:t>SENTI BIOSCIENCES HOLDINGS, INC.</w:t>
      </w:r>
    </w:p>
    <w:p>
      <w:pPr>
        <w:spacing w:after="0" w:line="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15,971,890 Shares of Common Stock Offered by the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127635</wp:posOffset>
            </wp:positionV>
            <wp:extent cx="9766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65" w:lineRule="exact"/>
        <w:rPr>
          <w:sz w:val="20"/>
          <w:szCs w:val="20"/>
          <w:color w:val="auto"/>
        </w:rPr>
      </w:pPr>
    </w:p>
    <w:p>
      <w:pPr>
        <w:ind w:right="939"/>
        <w:spacing w:after="0" w:line="261" w:lineRule="auto"/>
        <w:rPr>
          <w:sz w:val="20"/>
          <w:szCs w:val="20"/>
          <w:color w:val="auto"/>
        </w:rPr>
      </w:pPr>
      <w:r>
        <w:rPr>
          <w:rFonts w:ascii="Times New Roman" w:cs="Times New Roman" w:eastAsia="Times New Roman" w:hAnsi="Times New Roman"/>
          <w:sz w:val="13"/>
          <w:szCs w:val="13"/>
          <w:color w:val="auto"/>
        </w:rPr>
        <w:t>This prospectus relates to the offer and sale from time to time by the selling securityholder (the “Selling Securityholder”) or its permitted transferees, of up to 15,971,890 shares (the “Resale Shares”) of the common stock, par value $0.0001 per share, or Common Stock, of Senti Biosciences Holdings, Inc. (the “Company”) issuable upon the exchange of the Senior Secured Convertible Notes of Senti Holdings, Inc., our subsidiary (the “Notes”). Unless the context otherwise requires, for purposes of this prospectus, the terms “we,” “us,” “our,” etc. refer to the Company.</w:t>
      </w:r>
    </w:p>
    <w:p>
      <w:pPr>
        <w:spacing w:after="0" w:line="68" w:lineRule="exact"/>
        <w:rPr>
          <w:sz w:val="20"/>
          <w:szCs w:val="20"/>
          <w:color w:val="auto"/>
        </w:rPr>
      </w:pPr>
    </w:p>
    <w:p>
      <w:pPr>
        <w:ind w:right="899"/>
        <w:spacing w:after="0" w:line="288" w:lineRule="auto"/>
        <w:rPr>
          <w:sz w:val="20"/>
          <w:szCs w:val="20"/>
          <w:color w:val="auto"/>
        </w:rPr>
      </w:pPr>
      <w:r>
        <w:rPr>
          <w:rFonts w:ascii="Times New Roman" w:cs="Times New Roman" w:eastAsia="Times New Roman" w:hAnsi="Times New Roman"/>
          <w:sz w:val="12"/>
          <w:szCs w:val="12"/>
          <w:color w:val="auto"/>
        </w:rPr>
        <w:t>The Resale Shares, and the Notes from which such Resale Shares are exchangeable, were collectively issued and sold to an accredited investor in a private placement transaction. The Notes were issued on May 20, 2026. We are registering the offer and sale of the Resale Shares held by the Selling Securityholder to satisfy the registration rights granted pursuant to the Purchase Agreement (as defined below) and Registration Rights Agreement (as defined below). While we will not receive any proceeds from the sale of Resale Shares by the Selling Securityholder pursuant to this prospectus, we have received approximately $9.7 million in net proceeds from the issuance of the Notes.</w:t>
      </w:r>
    </w:p>
    <w:p>
      <w:pPr>
        <w:spacing w:after="0" w:line="53" w:lineRule="exact"/>
        <w:rPr>
          <w:sz w:val="20"/>
          <w:szCs w:val="20"/>
          <w:color w:val="auto"/>
        </w:rPr>
      </w:pPr>
    </w:p>
    <w:p>
      <w:pPr>
        <w:ind w:right="1059"/>
        <w:spacing w:after="0" w:line="261"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such securities and the general manner in which the Selling Securityholder or its pledgees, assignees or successors-in-interest may offer or sell the securities. More specific terms of any securities that the Selling Securityholder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68" w:lineRule="exact"/>
        <w:rPr>
          <w:sz w:val="20"/>
          <w:szCs w:val="20"/>
          <w:color w:val="auto"/>
        </w:rPr>
      </w:pPr>
    </w:p>
    <w:p>
      <w:pPr>
        <w:ind w:right="879"/>
        <w:spacing w:after="0" w:line="259" w:lineRule="auto"/>
        <w:rPr>
          <w:sz w:val="20"/>
          <w:szCs w:val="20"/>
          <w:color w:val="auto"/>
        </w:rPr>
      </w:pPr>
      <w:r>
        <w:rPr>
          <w:rFonts w:ascii="Times New Roman" w:cs="Times New Roman" w:eastAsia="Times New Roman" w:hAnsi="Times New Roman"/>
          <w:sz w:val="13"/>
          <w:szCs w:val="13"/>
          <w:color w:val="auto"/>
        </w:rPr>
        <w:t>Our registration of the Resale Shares covered by this prospectus does not mean that either we or the Selling Securityholder will issue, offer or sell, as applicable, any of the Resale Shares. The Selling Securityholder may offer and sell the Resale Shares covered by this prospectus in a number of different ways and at varying prices. We provide more information about how the Selling Securityholder may sell the Resale Shares in the section entitled “Plan of Distribution.” The Selling Securityholder may be deemed to be an “underwriter”, within the meaning of the Securities Act of 1933, as amended (the “Securities Act”), of the Resale Shares that it is offering pursuant to this prospectus. The Selling Securityholder will bear all commissions and discounts, if any, attributable to its sales of the Resale Shares hereunder. We will bear all costs, expenses and fees in connection with the registration of the Resale Shares. We will not be paying any underwriting discounts or commissions in this offering.</w:t>
      </w:r>
    </w:p>
    <w:p>
      <w:pPr>
        <w:spacing w:after="0" w:line="67" w:lineRule="exact"/>
        <w:rPr>
          <w:sz w:val="20"/>
          <w:szCs w:val="20"/>
          <w:color w:val="auto"/>
        </w:rPr>
      </w:pPr>
    </w:p>
    <w:p>
      <w:pPr>
        <w:ind w:right="1059"/>
        <w:spacing w:after="0" w:line="264" w:lineRule="auto"/>
        <w:rPr>
          <w:sz w:val="20"/>
          <w:szCs w:val="20"/>
          <w:color w:val="auto"/>
        </w:rPr>
      </w:pPr>
      <w:r>
        <w:rPr>
          <w:rFonts w:ascii="Times New Roman" w:cs="Times New Roman" w:eastAsia="Times New Roman" w:hAnsi="Times New Roman"/>
          <w:sz w:val="13"/>
          <w:szCs w:val="13"/>
          <w:color w:val="auto"/>
        </w:rPr>
        <w:t>The Resale Shares represent a substantial percentage of our total outstanding Common Stock as of April 30, 2026. The Resale Shares being offered for resale in this prospectus represent 51.2% of our current total outstanding Common Stock. Such shares of Common Stock will represent a substantial portion of our public float. If the Notes are exchanged for Common Stock, such shares of Common Stock will be significantly dilutive and may cause a decline in the market price of our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 should read this prospectus and any prospectus supplement or amendment carefully before you invest in our securities.</w:t>
      </w:r>
    </w:p>
    <w:p>
      <w:pPr>
        <w:spacing w:after="0" w:line="91" w:lineRule="exact"/>
        <w:rPr>
          <w:sz w:val="20"/>
          <w:szCs w:val="20"/>
          <w:color w:val="auto"/>
        </w:rPr>
      </w:pPr>
    </w:p>
    <w:p>
      <w:pPr>
        <w:ind w:right="1099"/>
        <w:spacing w:after="0" w:line="287" w:lineRule="auto"/>
        <w:rPr>
          <w:sz w:val="20"/>
          <w:szCs w:val="20"/>
          <w:color w:val="auto"/>
        </w:rPr>
      </w:pPr>
      <w:r>
        <w:rPr>
          <w:rFonts w:ascii="Times New Roman" w:cs="Times New Roman" w:eastAsia="Times New Roman" w:hAnsi="Times New Roman"/>
          <w:sz w:val="14"/>
          <w:szCs w:val="14"/>
          <w:color w:val="auto"/>
        </w:rPr>
        <w:t>Our Common Stock is listed on the Nasdaq Capital Market, or Nasdaq, under the symbol “SNTI”. On June 17, 2026, the last quoted sale price for the Common Stock as reported on Nasdaq was $0.9508 per share.</w:t>
      </w:r>
    </w:p>
    <w:p>
      <w:pPr>
        <w:spacing w:after="0" w:line="41" w:lineRule="exact"/>
        <w:rPr>
          <w:sz w:val="20"/>
          <w:szCs w:val="20"/>
          <w:color w:val="auto"/>
        </w:rPr>
      </w:pPr>
    </w:p>
    <w:p>
      <w:pPr>
        <w:jc w:val="both"/>
        <w:ind w:right="1239"/>
        <w:spacing w:after="0" w:line="269" w:lineRule="auto"/>
        <w:rPr>
          <w:sz w:val="20"/>
          <w:szCs w:val="20"/>
          <w:color w:val="auto"/>
        </w:rPr>
      </w:pPr>
      <w:r>
        <w:rPr>
          <w:rFonts w:ascii="Times New Roman" w:cs="Times New Roman" w:eastAsia="Times New Roman" w:hAnsi="Times New Roman"/>
          <w:sz w:val="13"/>
          <w:szCs w:val="13"/>
          <w:b w:val="1"/>
          <w:bCs w:val="1"/>
          <w:color w:val="auto"/>
        </w:rPr>
        <w:t>We are an “emerging growth company” and a “smaller reporting company” under applicable federal securities laws and will be subject to reduced public company reporting requirements for so long as we remain an emerging growth company or a smaller reporting company.</w:t>
      </w:r>
    </w:p>
    <w:p>
      <w:pPr>
        <w:spacing w:after="0" w:line="52" w:lineRule="exact"/>
        <w:rPr>
          <w:sz w:val="20"/>
          <w:szCs w:val="20"/>
          <w:color w:val="auto"/>
        </w:rPr>
      </w:pPr>
    </w:p>
    <w:p>
      <w:pPr>
        <w:ind w:right="1099"/>
        <w:spacing w:after="0" w:line="244"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11 of this prospectus and any other risk factors contained in any applicable prospectus supplement and in the documents incorporated by reference herein and therein.</w:t>
      </w:r>
    </w:p>
    <w:p>
      <w:pPr>
        <w:spacing w:after="0" w:line="66" w:lineRule="exact"/>
        <w:rPr>
          <w:sz w:val="20"/>
          <w:szCs w:val="20"/>
          <w:color w:val="auto"/>
        </w:rPr>
      </w:pPr>
    </w:p>
    <w:p>
      <w:pPr>
        <w:ind w:right="899"/>
        <w:spacing w:after="0" w:line="269"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106680</wp:posOffset>
            </wp:positionV>
            <wp:extent cx="9766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3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ectPr>
          <w:pgSz w:w="11900" w:h="16838" w:orient="portrait"/>
          <w:cols w:equalWidth="0" w:num="2">
            <w:col w:w="1805" w:space="195"/>
            <w:col w:w="815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1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SELECTED DEFINITIONS</w:t>
            </w:r>
          </w:p>
        </w:tc>
        <w:tc>
          <w:tcPr>
            <w:tcW w:w="4840" w:type="dxa"/>
            <w:vAlign w:val="bottom"/>
            <w:gridSpan w:val="8"/>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0"/>
        </w:trPr>
        <w:tc>
          <w:tcPr>
            <w:tcW w:w="64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150"/>
        </w:trPr>
        <w:tc>
          <w:tcPr>
            <w:tcW w:w="4540" w:type="dxa"/>
            <w:vAlign w:val="bottom"/>
            <w:tcBorders>
              <w:top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ABOUT THIS PROSPECTUS</w:t>
            </w:r>
          </w:p>
        </w:tc>
        <w:tc>
          <w:tcPr>
            <w:tcW w:w="1920" w:type="dxa"/>
            <w:vAlign w:val="bottom"/>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r>
      <w:tr>
        <w:trPr>
          <w:trHeight w:val="150"/>
        </w:trPr>
        <w:tc>
          <w:tcPr>
            <w:tcW w:w="1640" w:type="dxa"/>
            <w:vAlign w:val="bottom"/>
            <w:tcBorders>
              <w:top w:val="single" w:sz="8" w:color="0000EE"/>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100" w:type="dxa"/>
            <w:vAlign w:val="bottom"/>
            <w:tcBorders>
              <w:top w:val="single" w:sz="8" w:color="0000EE"/>
            </w:tcBorders>
          </w:tcPr>
          <w:p>
            <w:pPr>
              <w:spacing w:after="0"/>
              <w:rPr>
                <w:sz w:val="13"/>
                <w:szCs w:val="13"/>
                <w:color w:val="auto"/>
              </w:rPr>
            </w:pPr>
          </w:p>
        </w:tc>
        <w:tc>
          <w:tcPr>
            <w:tcW w:w="4720" w:type="dxa"/>
            <w:vAlign w:val="bottom"/>
            <w:gridSpan w:val="6"/>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100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8"/>
              </w:rPr>
              <w:t>THE OFFERING</w:t>
            </w:r>
          </w:p>
        </w:tc>
        <w:tc>
          <w:tcPr>
            <w:tcW w:w="5460" w:type="dxa"/>
            <w:vAlign w:val="bottom"/>
            <w:gridSpan w:val="12"/>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150"/>
        </w:trPr>
        <w:tc>
          <w:tcPr>
            <w:tcW w:w="98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5480" w:type="dxa"/>
            <w:vAlign w:val="bottom"/>
            <w:gridSpan w:val="13"/>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150"/>
        </w:trPr>
        <w:tc>
          <w:tcPr>
            <w:tcW w:w="124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9"/>
              </w:rPr>
              <w:t>USE OF PROCEEDS</w:t>
            </w:r>
          </w:p>
        </w:tc>
        <w:tc>
          <w:tcPr>
            <w:tcW w:w="5220" w:type="dxa"/>
            <w:vAlign w:val="bottom"/>
            <w:gridSpan w:val="10"/>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68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8"/>
              </w:rPr>
              <w:t>DILUTION</w:t>
            </w:r>
          </w:p>
        </w:tc>
        <w:tc>
          <w:tcPr>
            <w:tcW w:w="5780" w:type="dxa"/>
            <w:vAlign w:val="bottom"/>
            <w:gridSpan w:val="14"/>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150"/>
        </w:trPr>
        <w:tc>
          <w:tcPr>
            <w:tcW w:w="64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SELLING SECURITYHOLDER</w:t>
            </w: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150"/>
        </w:trPr>
        <w:tc>
          <w:tcPr>
            <w:tcW w:w="64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SECURITIES</w:t>
            </w: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16</w:t>
            </w:r>
          </w:p>
        </w:tc>
      </w:tr>
      <w:tr>
        <w:trPr>
          <w:trHeight w:val="150"/>
        </w:trPr>
        <w:tc>
          <w:tcPr>
            <w:tcW w:w="1960" w:type="dxa"/>
            <w:vAlign w:val="bottom"/>
            <w:tcBorders>
              <w:top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4500" w:type="dxa"/>
            <w:vAlign w:val="bottom"/>
            <w:gridSpan w:val="4"/>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r>
        <w:trPr>
          <w:trHeight w:val="150"/>
        </w:trPr>
        <w:tc>
          <w:tcPr>
            <w:tcW w:w="1140" w:type="dxa"/>
            <w:vAlign w:val="bottom"/>
            <w:tcBorders>
              <w:top w:val="single" w:sz="8" w:color="0000EE"/>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7"/>
              </w:rPr>
              <w:t>LEGAL MATTERS</w:t>
            </w:r>
          </w:p>
        </w:tc>
        <w:tc>
          <w:tcPr>
            <w:tcW w:w="460" w:type="dxa"/>
            <w:vAlign w:val="bottom"/>
            <w:tcBorders>
              <w:top w:val="single" w:sz="8" w:color="0000EE"/>
            </w:tcBorders>
            <w:gridSpan w:val="2"/>
          </w:tcPr>
          <w:p>
            <w:pPr>
              <w:spacing w:after="0"/>
              <w:rPr>
                <w:sz w:val="13"/>
                <w:szCs w:val="13"/>
                <w:color w:val="auto"/>
              </w:rPr>
            </w:pPr>
          </w:p>
        </w:tc>
        <w:tc>
          <w:tcPr>
            <w:tcW w:w="4860" w:type="dxa"/>
            <w:vAlign w:val="bottom"/>
            <w:gridSpan w:val="9"/>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150"/>
        </w:trPr>
        <w:tc>
          <w:tcPr>
            <w:tcW w:w="600" w:type="dxa"/>
            <w:vAlign w:val="bottom"/>
            <w:tcBorders>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5"/>
              </w:rPr>
              <w:t>EXPERTS</w:t>
            </w:r>
          </w:p>
        </w:tc>
        <w:tc>
          <w:tcPr>
            <w:tcW w:w="5860" w:type="dxa"/>
            <w:vAlign w:val="bottom"/>
            <w:gridSpan w:val="15"/>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150"/>
        </w:trPr>
        <w:tc>
          <w:tcPr>
            <w:tcW w:w="300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3460" w:type="dxa"/>
            <w:vAlign w:val="bottom"/>
            <w:gridSpan w:val="3"/>
          </w:tcPr>
          <w:p>
            <w:pPr>
              <w:spacing w:after="0"/>
              <w:rPr>
                <w:sz w:val="13"/>
                <w:szCs w:val="13"/>
                <w:color w:val="auto"/>
              </w:rPr>
            </w:pP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23</w:t>
            </w:r>
          </w:p>
        </w:tc>
      </w:tr>
      <w:tr>
        <w:trPr>
          <w:trHeight w:val="150"/>
        </w:trPr>
        <w:tc>
          <w:tcPr>
            <w:tcW w:w="646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16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SELECTED DEFINITIONS</w:t>
      </w:r>
    </w:p>
    <w:p>
      <w:pPr>
        <w:spacing w:after="0" w:line="181" w:lineRule="exact"/>
        <w:rPr>
          <w:sz w:val="20"/>
          <w:szCs w:val="20"/>
          <w:color w:val="auto"/>
        </w:rPr>
      </w:pPr>
    </w:p>
    <w:p>
      <w:pPr>
        <w:ind w:left="1320" w:right="259"/>
        <w:spacing w:after="0" w:line="287" w:lineRule="auto"/>
        <w:rPr>
          <w:sz w:val="20"/>
          <w:szCs w:val="20"/>
          <w:color w:val="auto"/>
        </w:rPr>
      </w:pPr>
      <w:r>
        <w:rPr>
          <w:rFonts w:ascii="Times New Roman" w:cs="Times New Roman" w:eastAsia="Times New Roman" w:hAnsi="Times New Roman"/>
          <w:sz w:val="14"/>
          <w:szCs w:val="14"/>
          <w:color w:val="auto"/>
        </w:rPr>
        <w:t>As used in this prospectus, unless otherwise noted or the context otherwise requires, references to the following capitalized terms have the meanings set forth below:</w:t>
      </w:r>
    </w:p>
    <w:p>
      <w:pPr>
        <w:spacing w:after="0" w:line="39" w:lineRule="exact"/>
        <w:rPr>
          <w:sz w:val="20"/>
          <w:szCs w:val="20"/>
          <w:color w:val="auto"/>
        </w:rPr>
      </w:pPr>
    </w:p>
    <w:p>
      <w:pPr>
        <w:jc w:val="both"/>
        <w:ind w:left="1320" w:right="199"/>
        <w:spacing w:after="0" w:line="27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Combination Agreement</w:t>
      </w:r>
      <w:r>
        <w:rPr>
          <w:rFonts w:ascii="Times New Roman" w:cs="Times New Roman" w:eastAsia="Times New Roman" w:hAnsi="Times New Roman"/>
          <w:sz w:val="14"/>
          <w:szCs w:val="14"/>
          <w:color w:val="auto"/>
        </w:rPr>
        <w:t>”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Dynamics Special Purpose Corp., Explore Merger Sub, Inc. and our predecessor, Senti Biosciences, Inc.</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our board of directors.</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Bylaws</w:t>
      </w:r>
      <w:r>
        <w:rPr>
          <w:rFonts w:ascii="Times New Roman" w:cs="Times New Roman" w:eastAsia="Times New Roman" w:hAnsi="Times New Roman"/>
          <w:sz w:val="14"/>
          <w:szCs w:val="14"/>
          <w:color w:val="auto"/>
        </w:rPr>
        <w:t>” means the Amended and Restated Bylaws of the Company.</w:t>
      </w:r>
    </w:p>
    <w:p>
      <w:pPr>
        <w:spacing w:after="0" w:line="179" w:lineRule="exact"/>
        <w:rPr>
          <w:sz w:val="20"/>
          <w:szCs w:val="20"/>
          <w:color w:val="auto"/>
        </w:rPr>
      </w:pPr>
    </w:p>
    <w:p>
      <w:pPr>
        <w:ind w:left="1320" w:right="259"/>
        <w:spacing w:after="0" w:line="28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means the Amended and Restated Certificate of Incorporation of the Company, as amended and / or restated from time to time.</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means the Delaware General Corporation Law, as may be amended from time to time.</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JOBS Act</w:t>
      </w:r>
      <w:r>
        <w:rPr>
          <w:rFonts w:ascii="Times New Roman" w:cs="Times New Roman" w:eastAsia="Times New Roman" w:hAnsi="Times New Roman"/>
          <w:sz w:val="14"/>
          <w:szCs w:val="14"/>
          <w:color w:val="auto"/>
        </w:rPr>
        <w:t>” means the Jumpstart Our Business Startups Act of 2012.</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ind w:left="1320" w:right="179"/>
        <w:spacing w:after="0" w:line="255" w:lineRule="auto"/>
        <w:rPr>
          <w:sz w:val="20"/>
          <w:szCs w:val="20"/>
          <w:color w:val="auto"/>
        </w:rPr>
      </w:pPr>
      <w:r>
        <w:rPr>
          <w:rFonts w:ascii="Times New Roman" w:cs="Times New Roman" w:eastAsia="Times New Roman" w:hAnsi="Times New Roman"/>
          <w:sz w:val="14"/>
          <w:szCs w:val="14"/>
          <w:color w:val="auto"/>
        </w:rPr>
        <w:t>This prospectus and some of the information incorporated by reference includes forward-looking statements within the meaning of Section 27A of the Securities Act and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w:t>
      </w:r>
    </w:p>
    <w:p>
      <w:pPr>
        <w:spacing w:after="0" w:line="79" w:lineRule="exact"/>
        <w:rPr>
          <w:sz w:val="20"/>
          <w:szCs w:val="20"/>
          <w:color w:val="auto"/>
        </w:rPr>
      </w:pPr>
    </w:p>
    <w:p>
      <w:pPr>
        <w:ind w:left="2080" w:right="25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cost, timing, progress and results of our clinical trials, preclinical studies or research and development activities with respect to our current and potential future product candidates;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therapeutic potential of our product candidates, and the disease indications for which we intend to develop our product candidates;</w:t>
      </w:r>
    </w:p>
    <w:p>
      <w:pPr>
        <w:spacing w:after="0" w:line="104" w:lineRule="exact"/>
        <w:rPr>
          <w:rFonts w:ascii="Times New Roman" w:cs="Times New Roman" w:eastAsia="Times New Roman" w:hAnsi="Times New Roman"/>
          <w:sz w:val="14"/>
          <w:szCs w:val="14"/>
          <w:color w:val="auto"/>
        </w:rPr>
      </w:pPr>
    </w:p>
    <w:p>
      <w:pPr>
        <w:ind w:left="2080" w:right="17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advance our gene circuit platform technologies and to identify product candidates using our gene circuit platform technologies;</w:t>
      </w:r>
    </w:p>
    <w:p>
      <w:pPr>
        <w:spacing w:after="0" w:line="49" w:lineRule="exact"/>
        <w:rPr>
          <w:rFonts w:ascii="Times New Roman" w:cs="Times New Roman" w:eastAsia="Times New Roman" w:hAnsi="Times New Roman"/>
          <w:sz w:val="14"/>
          <w:szCs w:val="14"/>
          <w:color w:val="auto"/>
        </w:rPr>
      </w:pPr>
    </w:p>
    <w:p>
      <w:pPr>
        <w:ind w:left="2080" w:right="55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our current and potential future product candidates into, and successfully initiate, conduct, enroll and complete clinical trials;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commercialize product candidates that we identify;</w:t>
      </w:r>
    </w:p>
    <w:p>
      <w:pPr>
        <w:spacing w:after="0" w:line="104" w:lineRule="exact"/>
        <w:rPr>
          <w:rFonts w:ascii="Times New Roman" w:cs="Times New Roman" w:eastAsia="Times New Roman" w:hAnsi="Times New Roman"/>
          <w:sz w:val="14"/>
          <w:szCs w:val="14"/>
          <w:color w:val="auto"/>
        </w:rPr>
      </w:pPr>
    </w:p>
    <w:p>
      <w:pPr>
        <w:ind w:left="2080" w:right="35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current and potential future product candidates, and any related restrictions, limitations and/or warnings in the label of an approved product candidate;</w:t>
      </w:r>
    </w:p>
    <w:p>
      <w:pPr>
        <w:spacing w:after="0" w:line="49" w:lineRule="exact"/>
        <w:rPr>
          <w:rFonts w:ascii="Times New Roman" w:cs="Times New Roman" w:eastAsia="Times New Roman" w:hAnsi="Times New Roman"/>
          <w:sz w:val="14"/>
          <w:szCs w:val="14"/>
          <w:color w:val="auto"/>
        </w:rPr>
      </w:pPr>
    </w:p>
    <w:p>
      <w:pPr>
        <w:ind w:left="2080" w:right="45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our product candidates for clinical development and, if approved, for commercialization, and the timing and costs of such manufacture;</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source clinical and, if approved, commercial materials and supplies used to manufacture our product candidates;</w:t>
      </w:r>
    </w:p>
    <w:p>
      <w:pPr>
        <w:spacing w:after="0" w:line="104" w:lineRule="exact"/>
        <w:rPr>
          <w:rFonts w:ascii="Times New Roman" w:cs="Times New Roman" w:eastAsia="Times New Roman" w:hAnsi="Times New Roman"/>
          <w:sz w:val="14"/>
          <w:szCs w:val="14"/>
          <w:color w:val="auto"/>
        </w:rPr>
      </w:pPr>
    </w:p>
    <w:p>
      <w:pPr>
        <w:ind w:left="2080" w:right="53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third parties in connection with the development of our product candidates, including third parties conducting our clinical trials as well as third-party suppliers;</w:t>
      </w:r>
    </w:p>
    <w:p>
      <w:pPr>
        <w:spacing w:after="0" w:line="49" w:lineRule="exact"/>
        <w:rPr>
          <w:rFonts w:ascii="Times New Roman" w:cs="Times New Roman" w:eastAsia="Times New Roman" w:hAnsi="Times New Roman"/>
          <w:sz w:val="14"/>
          <w:szCs w:val="14"/>
          <w:color w:val="auto"/>
        </w:rPr>
      </w:pPr>
    </w:p>
    <w:p>
      <w:pPr>
        <w:ind w:left="2080" w:right="47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benefits expected from the Framework Agreement and subsequent amendment, dated August 7, 2023 and December 10, 2024, respectively, by and among us, GeneFab, LLC and Valere Bio, Inc. and the transactions contemplated thereunder;</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projected financial information, anticipated growth rate, and market opportunities;</w:t>
      </w:r>
    </w:p>
    <w:p>
      <w:pPr>
        <w:spacing w:after="0" w:line="104" w:lineRule="exact"/>
        <w:rPr>
          <w:rFonts w:ascii="Times New Roman" w:cs="Times New Roman" w:eastAsia="Times New Roman" w:hAnsi="Times New Roman"/>
          <w:sz w:val="14"/>
          <w:szCs w:val="14"/>
          <w:color w:val="auto"/>
        </w:rPr>
      </w:pPr>
    </w:p>
    <w:p>
      <w:pPr>
        <w:ind w:left="2080" w:right="299" w:hanging="340"/>
        <w:spacing w:after="0" w:line="287"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and projections of financial information, including expenses, capital requirements, cash utilization, need for additional financing and market opportunities;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on Nasdaq, and the potential liquidity and trading of such securities;</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219" w:hanging="340"/>
        <w:spacing w:after="0" w:line="270"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file and obtain clearance for any additional investigational new drug application, (“IND”), for any additional product candidates we may identify, and to successfully complete our ongoing Phase 1 clinical trial for SENTI-202 and additional clinical trials for any potential future product candidates;</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and effectively manage the growth of our operations;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financing to fund our operations, if and when needed;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technologies and any of our product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our current and any potential future product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current and any potential future product candidates;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international jurisdictions;</w:t>
      </w:r>
    </w:p>
    <w:p>
      <w:pPr>
        <w:spacing w:after="0" w:line="104" w:lineRule="exact"/>
        <w:rPr>
          <w:rFonts w:ascii="Times New Roman" w:cs="Times New Roman" w:eastAsia="Times New Roman" w:hAnsi="Times New Roman"/>
          <w:sz w:val="14"/>
          <w:szCs w:val="14"/>
          <w:color w:val="auto"/>
        </w:rPr>
      </w:pPr>
    </w:p>
    <w:p>
      <w:pPr>
        <w:ind w:left="2080" w:right="499" w:hanging="340"/>
        <w:spacing w:after="0" w:line="287"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and our ability, and the ability of our collaborators, to successfully develop technologies and product candidates under the respective collaborations;</w:t>
      </w:r>
    </w:p>
    <w:p>
      <w:pPr>
        <w:spacing w:after="0" w:line="49" w:lineRule="exact"/>
        <w:rPr>
          <w:rFonts w:ascii="Times New Roman" w:cs="Times New Roman" w:eastAsia="Times New Roman" w:hAnsi="Times New Roman"/>
          <w:sz w:val="14"/>
          <w:szCs w:val="14"/>
          <w:color w:val="auto"/>
        </w:rPr>
      </w:pPr>
    </w:p>
    <w:p>
      <w:pPr>
        <w:ind w:left="2080" w:right="299" w:hanging="340"/>
        <w:spacing w:after="0" w:line="287"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liability from lawsuits and penalties related to our technologies, product candidates and current and future relationships with third parties, including relationships under strategic and financing transactions;</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retaining or recruiting, or adapting to changes in, our officers, key employees, or directors;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 under those arrangements;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and capital requirements;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and maintain effective internal controls;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supply chain disruptions;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global health crises on our business, including our ongoing and potential future clinical trials and preclinical studies;</w:t>
      </w:r>
    </w:p>
    <w:p>
      <w:pPr>
        <w:spacing w:after="0" w:line="104" w:lineRule="exact"/>
        <w:rPr>
          <w:rFonts w:ascii="Times New Roman" w:cs="Times New Roman" w:eastAsia="Times New Roman" w:hAnsi="Times New Roman"/>
          <w:sz w:val="14"/>
          <w:szCs w:val="14"/>
          <w:color w:val="auto"/>
        </w:rPr>
      </w:pPr>
    </w:p>
    <w:p>
      <w:pPr>
        <w:ind w:left="2080" w:right="999" w:hanging="340"/>
        <w:spacing w:after="0" w:line="287"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impacts on our business from unfavorable global economic conditions, including significant political, trade or regulatory developments, inflationary pressures, market volatility, acts of war and civil and political unrest;</w:t>
      </w:r>
    </w:p>
    <w:p>
      <w:pPr>
        <w:spacing w:after="0" w:line="49" w:lineRule="exact"/>
        <w:rPr>
          <w:rFonts w:ascii="Times New Roman" w:cs="Times New Roman" w:eastAsia="Times New Roman" w:hAnsi="Times New Roman"/>
          <w:sz w:val="14"/>
          <w:szCs w:val="14"/>
          <w:color w:val="auto"/>
        </w:rPr>
      </w:pPr>
    </w:p>
    <w:p>
      <w:pPr>
        <w:ind w:left="2080" w:right="519" w:hanging="340"/>
        <w:spacing w:after="0" w:line="287"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remediation plans to address the material weaknesses that are described in our most recent Annual Report on Form 10-K;</w:t>
      </w:r>
    </w:p>
    <w:p>
      <w:pPr>
        <w:spacing w:after="0" w:line="49" w:lineRule="exact"/>
        <w:rPr>
          <w:rFonts w:ascii="Times New Roman" w:cs="Times New Roman" w:eastAsia="Times New Roman" w:hAnsi="Times New Roman"/>
          <w:sz w:val="14"/>
          <w:szCs w:val="14"/>
          <w:color w:val="auto"/>
        </w:rPr>
      </w:pPr>
    </w:p>
    <w:p>
      <w:pPr>
        <w:ind w:left="2080" w:right="199" w:hanging="340"/>
        <w:spacing w:after="0" w:line="287"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qualify as a “smaller reporting company” as defined by Rule 12b-2 of the Securities Exchange Act of 1934 and “emerging growth company” under the JOBS Act; and</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entitled “Risk Factors.”</w:t>
      </w:r>
    </w:p>
    <w:p>
      <w:pPr>
        <w:spacing w:after="0" w:line="179" w:lineRule="exact"/>
        <w:rPr>
          <w:sz w:val="20"/>
          <w:szCs w:val="20"/>
          <w:color w:val="auto"/>
        </w:rPr>
      </w:pPr>
    </w:p>
    <w:p>
      <w:pPr>
        <w:jc w:val="both"/>
        <w:ind w:left="1320" w:right="219"/>
        <w:spacing w:after="0" w:line="264" w:lineRule="auto"/>
        <w:rPr>
          <w:sz w:val="20"/>
          <w:szCs w:val="20"/>
          <w:color w:val="auto"/>
        </w:rPr>
      </w:pPr>
      <w:r>
        <w:rPr>
          <w:rFonts w:ascii="Times New Roman" w:cs="Times New Roman" w:eastAsia="Times New Roman" w:hAnsi="Times New Roman"/>
          <w:sz w:val="14"/>
          <w:szCs w:val="14"/>
          <w:color w:val="auto"/>
        </w:rPr>
        <w:t>These and other factors that could cause actual results to differ from those implied by the forward-looking statements in this prospectus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elsewhere in this prospectus. The risks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w:t>
      </w:r>
    </w:p>
    <w:p>
      <w:pPr>
        <w:spacing w:after="0" w:line="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599"/>
        <w:spacing w:after="0" w:line="270" w:lineRule="auto"/>
        <w:rPr>
          <w:sz w:val="20"/>
          <w:szCs w:val="20"/>
          <w:color w:val="auto"/>
        </w:rPr>
      </w:pPr>
      <w:r>
        <w:rPr>
          <w:rFonts w:ascii="Times New Roman" w:cs="Times New Roman" w:eastAsia="Times New Roman" w:hAnsi="Times New Roman"/>
          <w:sz w:val="14"/>
          <w:szCs w:val="14"/>
          <w:color w:val="auto"/>
        </w:rPr>
        <w:t>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1"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 using the “shelf” registration process. Under this shelf registration process, the Selling Securityholder may, from time to time, sell the Resale Shares in one or more offerings through any means described in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While we will not receive any proceeds from the sale of Resale Shares by the Selling Securityholder pursuant to this prospectus, we have received approximately $9.7 million in net proceeds from the issuance of the Notes.</w:t>
      </w:r>
    </w:p>
    <w:p>
      <w:pPr>
        <w:spacing w:after="0" w:line="140"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and any applicable prospectus supplement.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Neither we nor the Selling Securityholder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 take responsibility for, and can provide no assurance as to the reliability of, any other information that others may give you.</w:t>
      </w:r>
    </w:p>
    <w:p>
      <w:pPr>
        <w:spacing w:after="0" w:line="140"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w:t>
      </w:r>
    </w:p>
    <w:p>
      <w:pPr>
        <w:spacing w:after="0" w:line="147"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For investors outside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40"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20" w:right="219"/>
        <w:spacing w:after="0" w:line="223" w:lineRule="auto"/>
        <w:rPr>
          <w:sz w:val="20"/>
          <w:szCs w:val="20"/>
          <w:color w:val="auto"/>
        </w:rPr>
      </w:pPr>
      <w:r>
        <w:rPr>
          <w:rFonts w:ascii="Times New Roman" w:cs="Times New Roman" w:eastAsia="Times New Roman" w:hAnsi="Times New Roman"/>
          <w:sz w:val="14"/>
          <w:szCs w:val="14"/>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4"/>
          <w:szCs w:val="14"/>
          <w:b w:val="1"/>
          <w:bCs w:val="1"/>
          <w:color w:val="auto"/>
        </w:rPr>
        <w:t xml:space="preserve"> or </w:t>
      </w:r>
      <w:r>
        <w:rPr>
          <w:rFonts w:ascii="Times New Roman" w:cs="Times New Roman" w:eastAsia="Times New Roman" w:hAnsi="Times New Roman"/>
          <w:sz w:val="21"/>
          <w:szCs w:val="21"/>
          <w:b w:val="1"/>
          <w:bCs w:val="1"/>
          <w:color w:val="auto"/>
          <w:vertAlign w:val="superscript"/>
        </w:rPr>
        <w:t>TM</w:t>
      </w:r>
      <w:r>
        <w:rPr>
          <w:rFonts w:ascii="Times New Roman" w:cs="Times New Roman" w:eastAsia="Times New Roman" w:hAnsi="Times New Roman"/>
          <w:sz w:val="14"/>
          <w:szCs w:val="14"/>
          <w:b w:val="1"/>
          <w:bCs w:val="1"/>
          <w:color w:val="auto"/>
        </w:rPr>
        <w:t xml:space="preserve"> symbols, but such references are not intended to indicate, in any way, that</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right="539"/>
        <w:spacing w:after="0" w:line="271" w:lineRule="auto"/>
        <w:rPr>
          <w:sz w:val="20"/>
          <w:szCs w:val="20"/>
          <w:color w:val="auto"/>
        </w:rPr>
      </w:pPr>
      <w:r>
        <w:rPr>
          <w:rFonts w:ascii="Times New Roman" w:cs="Times New Roman" w:eastAsia="Times New Roman" w:hAnsi="Times New Roman"/>
          <w:sz w:val="14"/>
          <w:szCs w:val="14"/>
          <w:b w:val="1"/>
          <w:bCs w:val="1"/>
          <w:color w:val="auto"/>
        </w:rPr>
        <w:t>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715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3545" cy="4715510"/>
                    </a:xfrm>
                    <a:prstGeom prst="rect">
                      <a:avLst/>
                    </a:prstGeom>
                    <a:noFill/>
                  </pic:spPr>
                </pic:pic>
              </a:graphicData>
            </a:graphic>
          </wp:anchor>
        </w:drawing>
      </w:r>
    </w:p>
    <w:p>
      <w:pPr>
        <w:spacing w:after="0" w:line="3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9" w:lineRule="exact"/>
        <w:rPr>
          <w:sz w:val="20"/>
          <w:szCs w:val="20"/>
          <w:color w:val="auto"/>
        </w:rPr>
      </w:pPr>
    </w:p>
    <w:p>
      <w:pPr>
        <w:ind w:left="1460" w:right="359"/>
        <w:spacing w:after="0" w:line="259" w:lineRule="auto"/>
        <w:rPr>
          <w:sz w:val="20"/>
          <w:szCs w:val="20"/>
          <w:color w:val="auto"/>
        </w:rPr>
      </w:pPr>
      <w:r>
        <w:rPr>
          <w:rFonts w:ascii="Times New Roman" w:cs="Times New Roman" w:eastAsia="Times New Roman" w:hAnsi="Times New Roman"/>
          <w:sz w:val="14"/>
          <w:szCs w:val="14"/>
          <w:i w:val="1"/>
          <w:iCs w:val="1"/>
          <w:color w:val="auto"/>
        </w:rPr>
        <w:t>This prospectus summary highlights certain information about us and selected information contained elsewhere in or incorporated by reference into this prospectus. This prospectus summary is not complete and does not contain all of the information that you should consider before making an investment decision. For a more complete understanding of us, you should read and consider carefully the more detailed information included or incorporated by reference in this prospectus and any applicable prospectus supplement or amendment, including the factors described under the heading “Risk Factors,” beginning on page 11 of this prospectus, as well as the information incorporated herein by reference, before making an investment decision. In this prospectus, unless the context requires otherwise, all references to “we,” “our,” “us,” “Senti,” the “Registrant,” and the “Company” refer to Senti Biosciences Holdings, Inc. and its subsidiaries.</w:t>
      </w:r>
    </w:p>
    <w:p>
      <w:pPr>
        <w:spacing w:after="0" w:line="2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1460" w:right="339"/>
        <w:spacing w:after="0" w:line="258" w:lineRule="auto"/>
        <w:rPr>
          <w:sz w:val="20"/>
          <w:szCs w:val="20"/>
          <w:color w:val="auto"/>
        </w:rPr>
      </w:pPr>
      <w:r>
        <w:rPr>
          <w:rFonts w:ascii="Times New Roman" w:cs="Times New Roman" w:eastAsia="Times New Roman" w:hAnsi="Times New Roman"/>
          <w:sz w:val="14"/>
          <w:szCs w:val="14"/>
          <w:color w:val="auto"/>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w:t>
      </w:r>
    </w:p>
    <w:p>
      <w:pPr>
        <w:spacing w:after="0" w:line="147" w:lineRule="exact"/>
        <w:rPr>
          <w:sz w:val="20"/>
          <w:szCs w:val="20"/>
          <w:color w:val="auto"/>
        </w:rPr>
      </w:pPr>
    </w:p>
    <w:p>
      <w:pPr>
        <w:ind w:left="1460" w:right="339"/>
        <w:spacing w:after="0" w:line="264" w:lineRule="auto"/>
        <w:rPr>
          <w:sz w:val="20"/>
          <w:szCs w:val="20"/>
          <w:color w:val="auto"/>
        </w:rPr>
      </w:pPr>
      <w:r>
        <w:rPr>
          <w:rFonts w:ascii="Times New Roman" w:cs="Times New Roman" w:eastAsia="Times New Roman" w:hAnsi="Times New Roman"/>
          <w:sz w:val="14"/>
          <w:szCs w:val="14"/>
          <w:color w:val="auto"/>
        </w:rPr>
        <w:t>We are applying our gene circuit technologies to develop a pipeline of medicines that use chimeric antigen receptor (“CAR”) white blood cells with the goal of addressing major challenges and providing potentially lifesaving treatments for people living with cancer. Our lead product candidate utilizes off-the-shelf healthy adult donor derived natural killer (“NK”) cells to create CAR-NK cells outfitted with gene circuit technologies in several oncology indications with high unmet need.</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May 2026 Private Placement</w:t>
      </w:r>
    </w:p>
    <w:p>
      <w:pPr>
        <w:spacing w:after="0" w:line="96" w:lineRule="exact"/>
        <w:rPr>
          <w:sz w:val="20"/>
          <w:szCs w:val="20"/>
          <w:color w:val="auto"/>
        </w:rPr>
      </w:pPr>
    </w:p>
    <w:p>
      <w:pPr>
        <w:ind w:left="1460" w:right="379"/>
        <w:spacing w:after="0" w:line="258" w:lineRule="auto"/>
        <w:rPr>
          <w:sz w:val="20"/>
          <w:szCs w:val="20"/>
          <w:color w:val="auto"/>
        </w:rPr>
      </w:pPr>
      <w:r>
        <w:rPr>
          <w:rFonts w:ascii="Times New Roman" w:cs="Times New Roman" w:eastAsia="Times New Roman" w:hAnsi="Times New Roman"/>
          <w:sz w:val="14"/>
          <w:szCs w:val="14"/>
          <w:color w:val="auto"/>
        </w:rPr>
        <w:t>On April 27, 2026, we entered into a securities purchase agreement (the “Purchase Agreement”) with the Selling Securityholder, pursuant to which our subsidiary, Senti Holdings, Inc., agreed to issue and sell up to $40.0 million in aggregate principal amount of our Senior Secured Convertible Notes in up to two tranches. On May 20, 2026, we issued and sold to the Selling Securityholder the first tranche of Notes, in aggregate principal amount of $10.0 million. None of the securities issued pursuant to the Purchase Agreement were initially registered under the Securities Act or any state securities laws, rather, we offered the securities in reliance on exemption from the registration requirements of the Securities Act by virtue of Section 4(a)(2) thereof and Rule 506 of Regulation D under the Securities Act. The registration statement of which this prospectus is a part relates to the offer and resale of the Resale Shares issuable upon the exchange of the first tranche of Notes.</w:t>
      </w:r>
    </w:p>
    <w:p>
      <w:pPr>
        <w:spacing w:after="0" w:line="147" w:lineRule="exact"/>
        <w:rPr>
          <w:sz w:val="20"/>
          <w:szCs w:val="20"/>
          <w:color w:val="auto"/>
        </w:rPr>
      </w:pPr>
    </w:p>
    <w:p>
      <w:pPr>
        <w:jc w:val="both"/>
        <w:ind w:left="1460" w:right="799"/>
        <w:spacing w:after="0" w:line="270" w:lineRule="auto"/>
        <w:rPr>
          <w:sz w:val="20"/>
          <w:szCs w:val="20"/>
          <w:color w:val="auto"/>
        </w:rPr>
      </w:pPr>
      <w:r>
        <w:rPr>
          <w:rFonts w:ascii="Times New Roman" w:cs="Times New Roman" w:eastAsia="Times New Roman" w:hAnsi="Times New Roman"/>
          <w:sz w:val="14"/>
          <w:szCs w:val="14"/>
          <w:color w:val="auto"/>
        </w:rPr>
        <w:t>In connection with the issuance and sale of the first tranche of Notes, on May 20, 2026, we entered into a registration rights agreement (the “Registration Rights Agreement”) with the Selling Securityholder pursuant to which we agreed to file a registration statement with the SEC registering the resale of the Common Stock underlying the Notes sold to the Selling Securityholder under the Purchase Agreement.</w:t>
      </w:r>
    </w:p>
    <w:p>
      <w:pPr>
        <w:spacing w:after="0" w:line="136" w:lineRule="exact"/>
        <w:rPr>
          <w:sz w:val="20"/>
          <w:szCs w:val="20"/>
          <w:color w:val="auto"/>
        </w:rPr>
      </w:pPr>
    </w:p>
    <w:p>
      <w:pPr>
        <w:jc w:val="both"/>
        <w:ind w:left="1460" w:right="339"/>
        <w:spacing w:after="0" w:line="270" w:lineRule="auto"/>
        <w:rPr>
          <w:sz w:val="20"/>
          <w:szCs w:val="20"/>
          <w:color w:val="auto"/>
        </w:rPr>
      </w:pPr>
      <w:r>
        <w:rPr>
          <w:rFonts w:ascii="Times New Roman" w:cs="Times New Roman" w:eastAsia="Times New Roman" w:hAnsi="Times New Roman"/>
          <w:sz w:val="14"/>
          <w:szCs w:val="14"/>
          <w:color w:val="auto"/>
        </w:rPr>
        <w:t>The Notes are exchangeable for shares of our Common Stock at an initial exchange price of $0.6261 per share and are also convertible for shares of common stock of Senti Holdings, Inc., our direct, wholly owned subsidiary, at an initial conversion price of $0.6261 per share, in each case subject to customary adjustments upon the</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4284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3545" cy="4284345"/>
                    </a:xfrm>
                    <a:prstGeom prst="rect">
                      <a:avLst/>
                    </a:prstGeom>
                    <a:noFill/>
                  </pic:spPr>
                </pic:pic>
              </a:graphicData>
            </a:graphic>
          </wp:anchor>
        </w:drawing>
      </w:r>
    </w:p>
    <w:p>
      <w:pPr>
        <w:spacing w:after="0" w:line="373" w:lineRule="exact"/>
        <w:rPr>
          <w:sz w:val="20"/>
          <w:szCs w:val="20"/>
          <w:color w:val="auto"/>
        </w:rPr>
      </w:pPr>
    </w:p>
    <w:p>
      <w:pPr>
        <w:ind w:left="1460" w:right="419"/>
        <w:spacing w:after="0" w:line="258" w:lineRule="auto"/>
        <w:rPr>
          <w:sz w:val="20"/>
          <w:szCs w:val="20"/>
          <w:color w:val="auto"/>
        </w:rPr>
      </w:pPr>
      <w:r>
        <w:rPr>
          <w:rFonts w:ascii="Times New Roman" w:cs="Times New Roman" w:eastAsia="Times New Roman" w:hAnsi="Times New Roman"/>
          <w:sz w:val="14"/>
          <w:szCs w:val="14"/>
          <w:color w:val="auto"/>
        </w:rPr>
        <w:t>occurrence of events specified in the Notes. In accordance with the rules of the Nasdaq Capital Market, we are not obligated to issue any shares of our Common Stock upon exchange beyond 19.99% of our Common Stock outstanding as of the date of the Purchase Agreement (the “Exchange Cap”) prior to the approval of our stockholders at a meeting to be held not later than August 31, 2026 to approve our issuance of shares of our Common Stock underlying the Notes without giving effect to the Exchange Cap (the “Issuance Approval”). In connection with the issuance of the first tranche of Notes on May 20, 2026, and assuming the Issuance Approval and the immediate exchange of such Notes by the Selling Securityholder for our Common Stock, the Selling Securityholder would, based on its Schedule 13D/A filed with the SEC on May 4, 2026, beneficially own 54.6% of our outstanding Common Stock.</w:t>
      </w:r>
    </w:p>
    <w:p>
      <w:pPr>
        <w:spacing w:after="0" w:line="147" w:lineRule="exact"/>
        <w:rPr>
          <w:sz w:val="20"/>
          <w:szCs w:val="20"/>
          <w:color w:val="auto"/>
        </w:rPr>
      </w:pPr>
    </w:p>
    <w:p>
      <w:pPr>
        <w:ind w:left="1460" w:right="419"/>
        <w:spacing w:after="0" w:line="258" w:lineRule="auto"/>
        <w:rPr>
          <w:sz w:val="20"/>
          <w:szCs w:val="20"/>
          <w:color w:val="auto"/>
        </w:rPr>
      </w:pPr>
      <w:r>
        <w:rPr>
          <w:rFonts w:ascii="Times New Roman" w:cs="Times New Roman" w:eastAsia="Times New Roman" w:hAnsi="Times New Roman"/>
          <w:sz w:val="14"/>
          <w:szCs w:val="14"/>
          <w:color w:val="auto"/>
        </w:rPr>
        <w:t>The Notes will not bear any interest unless an event of default has occurred. The Notes will have a maturity date of November 23, 2026, which is the date that is the first business day immediately following the date that is six months after the closing date of the first tranche of Notes (the “Maturity Date”). The Maturity Date may be extended at the option of the Selling Securityholder (i) if there is an event of default occurring on the Maturity Date or any event that, with the passage of time and the failure to cure would result in an event of default and (ii) through the date that is ten business days after the consummation of a change of control that is publicly announced or of which the Selling Securityholder received notice pursuant to the Notes. On the Maturity Date, if the Notes have not previously been converted or exchanged, Senti Holdings, Inc. is required to pay the Selling Securityholder an amount in cash equal to 200% of all outstanding principal and accrued and unpaid interest.</w:t>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Going Concern</w:t>
      </w:r>
    </w:p>
    <w:p>
      <w:pPr>
        <w:spacing w:after="0" w:line="96" w:lineRule="exact"/>
        <w:rPr>
          <w:sz w:val="20"/>
          <w:szCs w:val="20"/>
          <w:color w:val="auto"/>
        </w:rPr>
      </w:pPr>
    </w:p>
    <w:p>
      <w:pPr>
        <w:jc w:val="both"/>
        <w:ind w:left="1460" w:right="399"/>
        <w:spacing w:after="0" w:line="270"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and have an accumulated deficit that raises substantial doubt about our ability to continue as a going concern. Similarly, our independent registered public accounting firm included an explanatory paragraph in its report on our consolidated financial statements as of and for the year ended December 31, 2025 with respect to this uncertainty.</w:t>
      </w:r>
    </w:p>
    <w:p>
      <w:pPr>
        <w:spacing w:after="0" w:line="2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6" w:lineRule="exact"/>
        <w:rPr>
          <w:sz w:val="20"/>
          <w:szCs w:val="20"/>
          <w:color w:val="auto"/>
        </w:rPr>
      </w:pPr>
    </w:p>
    <w:p>
      <w:pPr>
        <w:ind w:left="1460" w:right="379"/>
        <w:spacing w:after="0" w:line="259" w:lineRule="auto"/>
        <w:rPr>
          <w:sz w:val="20"/>
          <w:szCs w:val="20"/>
          <w:color w:val="auto"/>
        </w:rPr>
      </w:pPr>
      <w:r>
        <w:rPr>
          <w:rFonts w:ascii="Times New Roman" w:cs="Times New Roman" w:eastAsia="Times New Roman" w:hAnsi="Times New Roman"/>
          <w:sz w:val="14"/>
          <w:szCs w:val="14"/>
          <w:color w:val="auto"/>
        </w:rPr>
        <w:t>Senti Biosciences, Inc. (“Senti Biosciences”), our predecessor company, was incorporated under the laws of the State of Delaware on June 9, 2016. On April 24, 2026, Senti Biosciences consummated a holding company reorganization by executing a tax-free merger, whereby it merged with and into Senti Biosciences Merger Sub, Inc., a newly formed Delaware corporation that is a subsidiary of a newly formed Delaware corporation, Senti Holdings, Inc. Senti Holdings, Inc. is our subsidiary. Following the reorganization, we became the successor issuer to Senti Biosciences. Our principal executive offices are located at 2 Corporate Drive, First Floor, South San Francisco, California 94080, and our telephone number is (650) 239-2030. Our Common Stock is listed on the Nasdaq Capital Market under the symbol “SNTI”.</w:t>
      </w:r>
    </w:p>
    <w:p>
      <w:pPr>
        <w:spacing w:after="0" w:line="146" w:lineRule="exact"/>
        <w:rPr>
          <w:sz w:val="20"/>
          <w:szCs w:val="20"/>
          <w:color w:val="auto"/>
        </w:rPr>
      </w:pPr>
    </w:p>
    <w:p>
      <w:pPr>
        <w:ind w:left="1460" w:right="339"/>
        <w:spacing w:after="0" w:line="258"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168275</wp:posOffset>
            </wp:positionV>
            <wp:extent cx="5503545" cy="3549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3545" cy="3549650"/>
                    </a:xfrm>
                    <a:prstGeom prst="rect">
                      <a:avLst/>
                    </a:prstGeom>
                    <a:noFill/>
                  </pic:spPr>
                </pic:pic>
              </a:graphicData>
            </a:graphic>
          </wp:anchor>
        </w:drawing>
      </w:r>
    </w:p>
    <w:p>
      <w:pPr>
        <w:spacing w:after="0" w:line="37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6" w:lineRule="exact"/>
        <w:rPr>
          <w:sz w:val="20"/>
          <w:szCs w:val="20"/>
          <w:color w:val="auto"/>
        </w:rPr>
      </w:pPr>
    </w:p>
    <w:p>
      <w:pPr>
        <w:ind w:left="1460" w:right="379"/>
        <w:spacing w:after="0" w:line="287"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As such, we may take advantage of reduced disclosure and other requirements otherwise generally applicable to public companies, including:</w:t>
      </w:r>
    </w:p>
    <w:p>
      <w:pPr>
        <w:spacing w:after="0" w:line="50" w:lineRule="exact"/>
        <w:rPr>
          <w:sz w:val="20"/>
          <w:szCs w:val="20"/>
          <w:color w:val="auto"/>
        </w:rPr>
      </w:pPr>
    </w:p>
    <w:p>
      <w:pPr>
        <w:ind w:left="2200" w:right="439" w:hanging="328"/>
        <w:spacing w:after="0" w:line="28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to have our registered independent public accounting firm attest to management’s assessment of our internal control over financial reporting;</w:t>
      </w:r>
    </w:p>
    <w:p>
      <w:pPr>
        <w:spacing w:after="0" w:line="49" w:lineRule="exact"/>
        <w:rPr>
          <w:rFonts w:ascii="Times New Roman" w:cs="Times New Roman" w:eastAsia="Times New Roman" w:hAnsi="Times New Roman"/>
          <w:sz w:val="14"/>
          <w:szCs w:val="14"/>
          <w:color w:val="auto"/>
        </w:rPr>
      </w:pPr>
    </w:p>
    <w:p>
      <w:pPr>
        <w:ind w:left="2200" w:right="639" w:hanging="328"/>
        <w:spacing w:after="0" w:line="28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compliance with the requirement of the Public Company Accounting Oversight Board, or PCAOB, regarding the communication of critical audit matters in the auditor’s report on the financial statements;</w:t>
      </w:r>
    </w:p>
    <w:p>
      <w:pPr>
        <w:spacing w:after="0" w:line="49" w:lineRule="exact"/>
        <w:rPr>
          <w:rFonts w:ascii="Times New Roman" w:cs="Times New Roman" w:eastAsia="Times New Roman" w:hAnsi="Times New Roman"/>
          <w:sz w:val="14"/>
          <w:szCs w:val="14"/>
          <w:color w:val="auto"/>
        </w:rPr>
      </w:pPr>
    </w:p>
    <w:p>
      <w:pPr>
        <w:ind w:left="2200" w:right="839" w:hanging="328"/>
        <w:spacing w:after="0" w:line="287" w:lineRule="auto"/>
        <w:tabs>
          <w:tab w:leader="none" w:pos="2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 and exemption from the requirement to hold non-binding advisory votes on executive compensation or golden parachute arrangements.</w:t>
      </w:r>
    </w:p>
    <w:p>
      <w:pPr>
        <w:spacing w:after="0" w:line="1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(1) the last day of the fiscal year in which we have at least</w:t>
      </w:r>
    </w:p>
    <w:p>
      <w:pPr>
        <w:spacing w:after="0" w:line="23" w:lineRule="exact"/>
        <w:rPr>
          <w:sz w:val="20"/>
          <w:szCs w:val="20"/>
          <w:color w:val="auto"/>
        </w:rPr>
      </w:pPr>
    </w:p>
    <w:p>
      <w:pPr>
        <w:ind w:left="1460" w:right="359"/>
        <w:spacing w:after="0" w:line="257" w:lineRule="auto"/>
        <w:rPr>
          <w:sz w:val="20"/>
          <w:szCs w:val="20"/>
          <w:color w:val="auto"/>
        </w:rPr>
      </w:pPr>
      <w:r>
        <w:rPr>
          <w:rFonts w:ascii="Times New Roman" w:cs="Times New Roman" w:eastAsia="Times New Roman" w:hAnsi="Times New Roman"/>
          <w:sz w:val="14"/>
          <w:szCs w:val="14"/>
          <w:color w:val="auto"/>
        </w:rPr>
        <w:t>$1.235 billion in annual revenue; (2) the date we qualify as a “large accelerated filer,” with at least $700.0 million of equity securities held by non-affiliates and our net sales for the year exceed $100 million; (3) the date on which we have issued more than $1.0 billion in non-convertible debt securities during the prior three-year period; and (4) December 31, 2026, the last day of the fiscal year ending after the fifth anniversary of our becoming a public company.</w:t>
      </w:r>
    </w:p>
    <w:p>
      <w:pPr>
        <w:spacing w:after="0" w:line="145" w:lineRule="exact"/>
        <w:rPr>
          <w:sz w:val="20"/>
          <w:szCs w:val="20"/>
          <w:color w:val="auto"/>
        </w:rPr>
      </w:pPr>
    </w:p>
    <w:p>
      <w:pPr>
        <w:ind w:left="1460" w:right="539"/>
        <w:spacing w:after="0" w:line="264" w:lineRule="auto"/>
        <w:rPr>
          <w:sz w:val="20"/>
          <w:szCs w:val="20"/>
          <w:color w:val="auto"/>
        </w:rPr>
      </w:pPr>
      <w:r>
        <w:rPr>
          <w:rFonts w:ascii="Times New Roman" w:cs="Times New Roman" w:eastAsia="Times New Roman" w:hAnsi="Times New Roman"/>
          <w:sz w:val="14"/>
          <w:szCs w:val="14"/>
          <w:color w:val="auto"/>
        </w:rPr>
        <w:t>As a result of this status, we have taken advantage of reduced reporting requirements in this prospectus and may elect to take advantage of other reduced reporting requirements in our future filings with the SEC. In particular, in this prospectus and our other SEC filings incorporated by reference herein, we have not included all of the executive compensation-related information that would be required if we were not an emerging growth company.</w:t>
      </w:r>
    </w:p>
    <w:p>
      <w:pPr>
        <w:spacing w:after="0" w:line="2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6" w:lineRule="exact"/>
        <w:rPr>
          <w:sz w:val="20"/>
          <w:szCs w:val="20"/>
          <w:color w:val="auto"/>
        </w:rPr>
      </w:pPr>
    </w:p>
    <w:p>
      <w:pPr>
        <w:ind w:left="1460" w:right="479"/>
        <w:spacing w:after="0" w:line="259" w:lineRule="auto"/>
        <w:rPr>
          <w:sz w:val="20"/>
          <w:szCs w:val="20"/>
          <w:color w:val="auto"/>
        </w:rPr>
      </w:pPr>
      <w:r>
        <w:rPr>
          <w:rFonts w:ascii="Times New Roman" w:cs="Times New Roman" w:eastAsia="Times New Roman" w:hAnsi="Times New Roman"/>
          <w:sz w:val="14"/>
          <w:szCs w:val="14"/>
          <w:color w:val="auto"/>
        </w:rPr>
        <w:t>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w:t>
      </w:r>
    </w:p>
    <w:p>
      <w:pPr>
        <w:spacing w:after="0" w:line="24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330" w:type="dxa"/>
        <w:tblCellMar>
          <w:top w:w="0" w:type="dxa"/>
          <w:left w:w="0" w:type="dxa"/>
          <w:bottom w:w="0" w:type="dxa"/>
          <w:right w:w="0" w:type="dxa"/>
        </w:tblCellMar>
      </w:tblPr>
      <w:tr>
        <w:trPr>
          <w:trHeight w:val="312"/>
        </w:trPr>
        <w:tc>
          <w:tcPr>
            <w:tcW w:w="2860" w:type="dxa"/>
            <w:vAlign w:val="bottom"/>
            <w:tcBorders>
              <w:top w:val="single" w:sz="8" w:color="auto"/>
              <w:left w:val="single" w:sz="8" w:color="auto"/>
            </w:tcBorders>
          </w:tcPr>
          <w:p>
            <w:pPr>
              <w:spacing w:after="0"/>
              <w:rPr>
                <w:sz w:val="24"/>
                <w:szCs w:val="24"/>
                <w:color w:val="auto"/>
              </w:rPr>
            </w:pPr>
          </w:p>
        </w:tc>
        <w:tc>
          <w:tcPr>
            <w:tcW w:w="580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44"/>
        </w:trPr>
        <w:tc>
          <w:tcPr>
            <w:tcW w:w="28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Offered by the Selling</w:t>
            </w: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15,971,890 shares of Common Stock, issuable upon exchange of the Notes. See “</w:t>
            </w:r>
            <w:r>
              <w:rPr>
                <w:rFonts w:ascii="Times New Roman" w:cs="Times New Roman" w:eastAsia="Times New Roman" w:hAnsi="Times New Roman"/>
                <w:sz w:val="14"/>
                <w:szCs w:val="14"/>
                <w:i w:val="1"/>
                <w:iCs w:val="1"/>
                <w:color w:val="auto"/>
              </w:rPr>
              <w:t>Selling</w:t>
            </w:r>
          </w:p>
        </w:tc>
      </w:tr>
      <w:tr>
        <w:trPr>
          <w:trHeight w:val="186"/>
        </w:trPr>
        <w:tc>
          <w:tcPr>
            <w:tcW w:w="28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i w:val="1"/>
                <w:iCs w:val="1"/>
                <w:color w:val="auto"/>
              </w:rPr>
              <w:t>Securityholder.</w:t>
            </w:r>
            <w:r>
              <w:rPr>
                <w:rFonts w:ascii="Times New Roman" w:cs="Times New Roman" w:eastAsia="Times New Roman" w:hAnsi="Times New Roman"/>
                <w:sz w:val="14"/>
                <w:szCs w:val="14"/>
                <w:color w:val="auto"/>
              </w:rPr>
              <w:t>”</w:t>
            </w:r>
          </w:p>
        </w:tc>
      </w:tr>
      <w:tr>
        <w:trPr>
          <w:trHeight w:val="262"/>
        </w:trPr>
        <w:tc>
          <w:tcPr>
            <w:tcW w:w="28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We will not receive any proceeds from the sale of the Resale Shares to be offered by the</w:t>
            </w:r>
          </w:p>
        </w:tc>
      </w:tr>
      <w:tr>
        <w:trPr>
          <w:trHeight w:val="184"/>
        </w:trPr>
        <w:tc>
          <w:tcPr>
            <w:tcW w:w="2860" w:type="dxa"/>
            <w:vAlign w:val="bottom"/>
            <w:tcBorders>
              <w:left w:val="single" w:sz="8" w:color="auto"/>
            </w:tcBorders>
          </w:tcPr>
          <w:p>
            <w:pPr>
              <w:spacing w:after="0"/>
              <w:rPr>
                <w:sz w:val="16"/>
                <w:szCs w:val="16"/>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Selling Securityholder.</w:t>
            </w:r>
          </w:p>
        </w:tc>
      </w:tr>
      <w:tr>
        <w:trPr>
          <w:trHeight w:val="251"/>
        </w:trPr>
        <w:tc>
          <w:tcPr>
            <w:tcW w:w="28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“SNTI”. Neither we nor our subsidiary Senti Holdings, Inc. intends to list the Notes on the</w:t>
            </w:r>
          </w:p>
        </w:tc>
      </w:tr>
      <w:tr>
        <w:trPr>
          <w:trHeight w:val="170"/>
        </w:trPr>
        <w:tc>
          <w:tcPr>
            <w:tcW w:w="2860" w:type="dxa"/>
            <w:vAlign w:val="bottom"/>
            <w:tcBorders>
              <w:left w:val="single" w:sz="8" w:color="auto"/>
            </w:tcBorders>
          </w:tcPr>
          <w:p>
            <w:pPr>
              <w:spacing w:after="0"/>
              <w:rPr>
                <w:sz w:val="14"/>
                <w:szCs w:val="14"/>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Nasdaq Capital Market or any other national securities exchange or any recognized trading</w:t>
            </w:r>
          </w:p>
        </w:tc>
      </w:tr>
      <w:tr>
        <w:trPr>
          <w:trHeight w:val="184"/>
        </w:trPr>
        <w:tc>
          <w:tcPr>
            <w:tcW w:w="2860" w:type="dxa"/>
            <w:vAlign w:val="bottom"/>
            <w:tcBorders>
              <w:left w:val="single" w:sz="8" w:color="auto"/>
            </w:tcBorders>
          </w:tcPr>
          <w:p>
            <w:pPr>
              <w:spacing w:after="0"/>
              <w:rPr>
                <w:sz w:val="16"/>
                <w:szCs w:val="16"/>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system. Without an active market, the liquidity of the Notes will be limited.</w:t>
            </w:r>
          </w:p>
        </w:tc>
      </w:tr>
      <w:tr>
        <w:trPr>
          <w:trHeight w:val="251"/>
        </w:trPr>
        <w:tc>
          <w:tcPr>
            <w:tcW w:w="286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Any investment in the securities offered hereby is speculative and involves a high degree</w:t>
            </w:r>
          </w:p>
        </w:tc>
      </w:tr>
      <w:tr>
        <w:trPr>
          <w:trHeight w:val="170"/>
        </w:trPr>
        <w:tc>
          <w:tcPr>
            <w:tcW w:w="2860" w:type="dxa"/>
            <w:vAlign w:val="bottom"/>
            <w:tcBorders>
              <w:left w:val="single" w:sz="8" w:color="auto"/>
            </w:tcBorders>
          </w:tcPr>
          <w:p>
            <w:pPr>
              <w:spacing w:after="0"/>
              <w:rPr>
                <w:sz w:val="14"/>
                <w:szCs w:val="14"/>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of risk. You should carefully consider the information set forth under “Risk Factors” and</w:t>
            </w:r>
          </w:p>
        </w:tc>
      </w:tr>
      <w:tr>
        <w:trPr>
          <w:trHeight w:val="170"/>
        </w:trPr>
        <w:tc>
          <w:tcPr>
            <w:tcW w:w="2860" w:type="dxa"/>
            <w:vAlign w:val="bottom"/>
            <w:tcBorders>
              <w:left w:val="single" w:sz="8" w:color="auto"/>
            </w:tcBorders>
          </w:tcPr>
          <w:p>
            <w:pPr>
              <w:spacing w:after="0"/>
              <w:rPr>
                <w:sz w:val="14"/>
                <w:szCs w:val="14"/>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elsewhere in this prospectus, as well as the risk factors described or referred to in any</w:t>
            </w:r>
          </w:p>
        </w:tc>
      </w:tr>
      <w:tr>
        <w:trPr>
          <w:trHeight w:val="170"/>
        </w:trPr>
        <w:tc>
          <w:tcPr>
            <w:tcW w:w="2860" w:type="dxa"/>
            <w:vAlign w:val="bottom"/>
            <w:tcBorders>
              <w:left w:val="single" w:sz="8" w:color="auto"/>
            </w:tcBorders>
          </w:tcPr>
          <w:p>
            <w:pPr>
              <w:spacing w:after="0"/>
              <w:rPr>
                <w:sz w:val="14"/>
                <w:szCs w:val="14"/>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documents incorporated by reference in this prospectus, and in any applicable prospectus</w:t>
            </w:r>
          </w:p>
        </w:tc>
      </w:tr>
      <w:tr>
        <w:trPr>
          <w:trHeight w:val="184"/>
        </w:trPr>
        <w:tc>
          <w:tcPr>
            <w:tcW w:w="2860" w:type="dxa"/>
            <w:vAlign w:val="bottom"/>
            <w:tcBorders>
              <w:left w:val="single" w:sz="8" w:color="auto"/>
            </w:tcBorders>
          </w:tcPr>
          <w:p>
            <w:pPr>
              <w:spacing w:after="0"/>
              <w:rPr>
                <w:sz w:val="16"/>
                <w:szCs w:val="16"/>
                <w:color w:val="auto"/>
              </w:rPr>
            </w:pPr>
          </w:p>
        </w:tc>
        <w:tc>
          <w:tcPr>
            <w:tcW w:w="58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supplement or amendment.</w:t>
            </w:r>
          </w:p>
        </w:tc>
      </w:tr>
      <w:tr>
        <w:trPr>
          <w:trHeight w:val="134"/>
        </w:trPr>
        <w:tc>
          <w:tcPr>
            <w:tcW w:w="2860" w:type="dxa"/>
            <w:vAlign w:val="bottom"/>
            <w:tcBorders>
              <w:left w:val="single" w:sz="8" w:color="auto"/>
              <w:bottom w:val="single" w:sz="8" w:color="auto"/>
            </w:tcBorders>
          </w:tcPr>
          <w:p>
            <w:pPr>
              <w:spacing w:after="0"/>
              <w:rPr>
                <w:sz w:val="11"/>
                <w:szCs w:val="11"/>
                <w:color w:val="auto"/>
              </w:rPr>
            </w:pPr>
          </w:p>
        </w:tc>
        <w:tc>
          <w:tcPr>
            <w:tcW w:w="5800" w:type="dxa"/>
            <w:vAlign w:val="bottom"/>
            <w:tcBorders>
              <w:bottom w:val="single" w:sz="8" w:color="auto"/>
              <w:right w:val="single" w:sz="8" w:color="auto"/>
            </w:tcBorders>
          </w:tcPr>
          <w:p>
            <w:pPr>
              <w:spacing w:after="0"/>
              <w:rPr>
                <w:sz w:val="11"/>
                <w:szCs w:val="11"/>
                <w:color w:val="auto"/>
              </w:rPr>
            </w:pPr>
          </w:p>
        </w:tc>
      </w:tr>
      <w:tr>
        <w:trPr>
          <w:trHeight w:val="281"/>
        </w:trPr>
        <w:tc>
          <w:tcPr>
            <w:tcW w:w="2860" w:type="dxa"/>
            <w:vAlign w:val="bottom"/>
          </w:tcPr>
          <w:p>
            <w:pPr>
              <w:spacing w:after="0"/>
              <w:rPr>
                <w:sz w:val="24"/>
                <w:szCs w:val="24"/>
                <w:color w:val="auto"/>
              </w:rPr>
            </w:pPr>
          </w:p>
        </w:tc>
        <w:tc>
          <w:tcPr>
            <w:tcW w:w="580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10</w:t>
            </w:r>
          </w:p>
        </w:tc>
      </w:tr>
    </w:tbl>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9"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i w:val="1"/>
          <w:iCs w:val="1"/>
          <w:color w:val="auto"/>
        </w:rPr>
        <w:t>Investing in the Common Stock involves a high degree of risk.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“Cautionary Note Regarding Forward-Looking Statements.”</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this Offering by the Selling Securityholder</w:t>
      </w:r>
    </w:p>
    <w:p>
      <w:pPr>
        <w:spacing w:after="0" w:line="94" w:lineRule="exact"/>
        <w:rPr>
          <w:sz w:val="20"/>
          <w:szCs w:val="20"/>
          <w:color w:val="auto"/>
        </w:rPr>
      </w:pPr>
    </w:p>
    <w:p>
      <w:pPr>
        <w:ind w:left="1320" w:right="2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sale of the securities registered for resale hereunder and future sales of substantial amounts of our securities in the public market (including the shares of Common Stock issuable upon exchange of the Notes), or the perception that such sales may occur, may cause the market price of our securities to decline significantly.</w:t>
      </w:r>
    </w:p>
    <w:p>
      <w:pPr>
        <w:spacing w:after="0" w:line="136"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We are registering for resale 15,971,890 shares of Common Stock. The shares of Common Stock offered for resale by the Selling Securityholder in this prospectus represent approximately 51.3% of our total Common Stock outstanding as of March 31, 2026. The Selling Securityholder is currently our largest stockholder and, upon exchange of the Notes for shares of Common Stock, the Selling Securityholder will become our controlling stockholder. However, the shares of Common Stock offered for resale by the Selling Securityholder in this prospectus are not subject to volume limitations pursuant to Rule 144 under the Securities Act.</w:t>
      </w:r>
    </w:p>
    <w:p>
      <w:pPr>
        <w:spacing w:after="0" w:line="1"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We cannot predict if and when the Selling Securityholder may sell such shares in the public markets. Furthermore, in the future, we may issue additional shares of Common Stock or other equity or debt securities convertible into shares of Common Stock. Any such issuance could result in substantial dilution to our existing shareholders and could cause our stock price to decline.</w:t>
      </w:r>
    </w:p>
    <w:p>
      <w:pPr>
        <w:spacing w:after="0" w:line="14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Pursuant to the terms of the Notes and the rules of the Nasdaq Capital Market, we may not issue greater than 6,225,836 shares of Common Stock upon exchange of the Notes until we obtain stockholder approval in accordance with the rules of the Nasdaq Capital Market. We have agreed to call a meeting of our stockholders as promptly as practicable, but in any event not later than August 31, 2026, to seek such stockholder approval. At that meeting, the Selling Securityholder, which is our largest stockholder, will be able to vote its pre-transaction shares, and has agreed to vote such shares, in favor of such approval. Therefore, all 15,971,890 shares of our Common Stock may become issuable in exchange for the Notes in the future, notwithstanding the limitations provided by the Notes and the rules the Nasdaq Capital Market that currently apply to the Notes.</w:t>
      </w:r>
    </w:p>
    <w:p>
      <w:pPr>
        <w:spacing w:after="0" w:line="146" w:lineRule="exact"/>
        <w:rPr>
          <w:sz w:val="20"/>
          <w:szCs w:val="20"/>
          <w:color w:val="auto"/>
        </w:rPr>
      </w:pPr>
    </w:p>
    <w:p>
      <w:pPr>
        <w:ind w:left="1320" w:right="579"/>
        <w:spacing w:after="0" w:line="287" w:lineRule="auto"/>
        <w:rPr>
          <w:sz w:val="20"/>
          <w:szCs w:val="20"/>
          <w:color w:val="auto"/>
        </w:rPr>
      </w:pPr>
      <w:r>
        <w:rPr>
          <w:rFonts w:ascii="Times New Roman" w:cs="Times New Roman" w:eastAsia="Times New Roman" w:hAnsi="Times New Roman"/>
          <w:sz w:val="14"/>
          <w:szCs w:val="14"/>
          <w:color w:val="auto"/>
        </w:rPr>
        <w:t>The resale of these 15,971,890 shares of Common Stock in the public market, or the perception that the Selling Securityholder intends to sell such shares, could reduce the market price of our Common Stock.</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1"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4"/>
          <w:szCs w:val="14"/>
          <w:color w:val="auto"/>
        </w:rPr>
        <w:t>We will not receive any of the proceeds from the sale of the Resale Shares covered by this prospectus.</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81" w:lineRule="exact"/>
        <w:rPr>
          <w:sz w:val="20"/>
          <w:szCs w:val="20"/>
          <w:color w:val="auto"/>
        </w:rPr>
      </w:pPr>
    </w:p>
    <w:p>
      <w:pPr>
        <w:ind w:left="1320" w:right="319"/>
        <w:spacing w:after="0" w:line="270" w:lineRule="auto"/>
        <w:rPr>
          <w:sz w:val="20"/>
          <w:szCs w:val="20"/>
          <w:color w:val="auto"/>
        </w:rPr>
      </w:pPr>
      <w:r>
        <w:rPr>
          <w:rFonts w:ascii="Times New Roman" w:cs="Times New Roman" w:eastAsia="Times New Roman" w:hAnsi="Times New Roman"/>
          <w:sz w:val="14"/>
          <w:szCs w:val="14"/>
          <w:color w:val="auto"/>
        </w:rPr>
        <w:t>As of March 31, 2026, the net tangible book value of our Common Stock was approximately $(10.0) million, or $(0.32) per share of Common Stock based on 31,144,754 shares of our Common Stock issued and outstanding. Net tangible book value per share as of a particular date represents our total tangible assets less total liabilities, divided by the number of shares of outstanding Common Stock.</w:t>
      </w:r>
    </w:p>
    <w:p>
      <w:pPr>
        <w:spacing w:after="0" w:line="136" w:lineRule="exact"/>
        <w:rPr>
          <w:sz w:val="20"/>
          <w:szCs w:val="20"/>
          <w:color w:val="auto"/>
        </w:rPr>
      </w:pPr>
    </w:p>
    <w:p>
      <w:pPr>
        <w:ind w:left="1320" w:right="359"/>
        <w:spacing w:after="0" w:line="264" w:lineRule="auto"/>
        <w:rPr>
          <w:sz w:val="20"/>
          <w:szCs w:val="20"/>
          <w:color w:val="auto"/>
        </w:rPr>
      </w:pPr>
      <w:r>
        <w:rPr>
          <w:rFonts w:ascii="Times New Roman" w:cs="Times New Roman" w:eastAsia="Times New Roman" w:hAnsi="Times New Roman"/>
          <w:sz w:val="14"/>
          <w:szCs w:val="14"/>
          <w:color w:val="auto"/>
        </w:rPr>
        <w:t>After giving effect to the issuance of 15,971,890 shares of our Common Stock upon exchange of the Notes at an assumed price of $0.63 per share, the pro forma net tangible book value as of March 31, 2026 would have been approximately $(0.6) million or $(0.01) per share. This represents an immediate increase in the net tangible book value of $0.31 per share to existing stockholders and an immediate dilution of $0.64 per share to the investors purchasing shares of our Common Stock in this offering at the assumed price per share.</w:t>
      </w:r>
    </w:p>
    <w:p>
      <w:pPr>
        <w:spacing w:after="0" w:line="14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illustrates the dilution in net tangible book value per share as a result of this offering:</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vMerge w:val="restart"/>
          </w:tcPr>
          <w:p>
            <w:pPr>
              <w:spacing w:after="0"/>
              <w:rPr>
                <w:sz w:val="16"/>
                <w:szCs w:val="16"/>
                <w:color w:val="auto"/>
              </w:rPr>
            </w:pPr>
          </w:p>
        </w:tc>
        <w:tc>
          <w:tcPr>
            <w:tcW w:w="5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040" w:type="dxa"/>
            <w:vAlign w:val="bottom"/>
            <w:vMerge w:val="continue"/>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price per share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1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5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Increase in net tangible book value per share after giving effect to the issuance of shares of</w:t>
            </w: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issuable upon exchange of the Notes</w:t>
            </w:r>
          </w:p>
        </w:tc>
        <w:tc>
          <w:tcPr>
            <w:tcW w:w="1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$ 0.31</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tangible book value per share as of March 31,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in this offering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419"/>
        <w:spacing w:after="0" w:line="270" w:lineRule="auto"/>
        <w:rPr>
          <w:sz w:val="20"/>
          <w:szCs w:val="20"/>
          <w:color w:val="auto"/>
        </w:rPr>
      </w:pPr>
      <w:r>
        <w:rPr>
          <w:rFonts w:ascii="Times New Roman" w:cs="Times New Roman" w:eastAsia="Times New Roman" w:hAnsi="Times New Roman"/>
          <w:sz w:val="14"/>
          <w:szCs w:val="14"/>
          <w:color w:val="auto"/>
        </w:rPr>
        <w:t>For purposes of calculating pro forma, as adjusted net tangible book value, the number of shares of our Common Stock outstanding prior to and after this offering is based on 31,144,754 shares of Common Stock outstanding as of March 31, 2026, assumes the issuance of 15,971,890 shares of our Common Stock in connection with this offering, and excludes, in each case, as of such date:</w:t>
      </w:r>
    </w:p>
    <w:p>
      <w:pPr>
        <w:spacing w:after="0" w:line="61" w:lineRule="exact"/>
        <w:rPr>
          <w:sz w:val="20"/>
          <w:szCs w:val="20"/>
          <w:color w:val="auto"/>
        </w:rPr>
      </w:pPr>
    </w:p>
    <w:p>
      <w:pPr>
        <w:ind w:left="2080" w:right="23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4,848,839 shares of Common Stock issuable upon the exercise of stock options outstanding at a weighted-average exercise price of $12.45 per share;</w:t>
      </w:r>
    </w:p>
    <w:p>
      <w:pPr>
        <w:spacing w:after="0" w:line="49" w:lineRule="exact"/>
        <w:rPr>
          <w:rFonts w:ascii="Times New Roman" w:cs="Times New Roman" w:eastAsia="Times New Roman" w:hAnsi="Times New Roman"/>
          <w:sz w:val="14"/>
          <w:szCs w:val="14"/>
          <w:color w:val="auto"/>
        </w:rPr>
      </w:pPr>
    </w:p>
    <w:p>
      <w:pPr>
        <w:ind w:left="2080" w:right="71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31,745,500 shares of Common Stock issuable upon the exercise of warrants to purchase shares of Common Stock outstanding at a weighted-average exercise price of $2.30 per share;</w:t>
      </w:r>
    </w:p>
    <w:p>
      <w:pPr>
        <w:spacing w:after="0" w:line="49" w:lineRule="exact"/>
        <w:rPr>
          <w:rFonts w:ascii="Times New Roman" w:cs="Times New Roman" w:eastAsia="Times New Roman" w:hAnsi="Times New Roman"/>
          <w:sz w:val="14"/>
          <w:szCs w:val="14"/>
          <w:color w:val="auto"/>
        </w:rPr>
      </w:pPr>
    </w:p>
    <w:p>
      <w:pPr>
        <w:ind w:left="2080" w:right="259" w:hanging="340"/>
        <w:spacing w:after="0" w:line="287"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714,571 shares of Common Stock issuable upon the vesting and settlement of outstanding restricted stock units under our equity incentive plans;</w:t>
      </w:r>
    </w:p>
    <w:p>
      <w:pPr>
        <w:spacing w:after="0" w:line="49" w:lineRule="exact"/>
        <w:rPr>
          <w:rFonts w:ascii="Times New Roman" w:cs="Times New Roman" w:eastAsia="Times New Roman" w:hAnsi="Times New Roman"/>
          <w:sz w:val="14"/>
          <w:szCs w:val="14"/>
          <w:color w:val="auto"/>
        </w:rPr>
      </w:pPr>
    </w:p>
    <w:p>
      <w:pPr>
        <w:ind w:left="2080" w:right="299" w:hanging="340"/>
        <w:spacing w:after="0" w:line="270"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2,131,608 shares of Common Stock available for issuance under our 2022 Equity Incentive Plan (the “2022 Plan”), plus any future increases in the number of shares of Common Stock reserved for issuance under our 2022 Plan pursuant to the evergreen provision of our 2022 Plan;</w:t>
      </w:r>
    </w:p>
    <w:p>
      <w:pPr>
        <w:spacing w:after="0" w:line="61" w:lineRule="exact"/>
        <w:rPr>
          <w:rFonts w:ascii="Times New Roman" w:cs="Times New Roman" w:eastAsia="Times New Roman" w:hAnsi="Times New Roman"/>
          <w:sz w:val="14"/>
          <w:szCs w:val="14"/>
          <w:color w:val="auto"/>
        </w:rPr>
      </w:pPr>
    </w:p>
    <w:p>
      <w:pPr>
        <w:ind w:left="2080" w:right="499" w:hanging="340"/>
        <w:spacing w:after="0" w:line="270" w:lineRule="auto"/>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436,474 shares of Common Stock available for issuance under our 2022 Employee Stock Purchase Plan (the “ESPP”), plus any future increases in the number of shares of Common Stock reserved for issuance under our ESPP pursuant to the evergreen provision of our ESPP; and</w:t>
      </w:r>
    </w:p>
    <w:p>
      <w:pPr>
        <w:spacing w:after="0" w:line="61"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2,132,767 shares of Common Stock available for issuance under our 2022 Inducement Plan.</w:t>
      </w:r>
    </w:p>
    <w:p>
      <w:pPr>
        <w:spacing w:after="0" w:line="179" w:lineRule="exact"/>
        <w:rPr>
          <w:sz w:val="20"/>
          <w:szCs w:val="20"/>
          <w:color w:val="auto"/>
        </w:rPr>
      </w:pPr>
    </w:p>
    <w:p>
      <w:pPr>
        <w:ind w:left="1320" w:right="199"/>
        <w:spacing w:after="0" w:line="287" w:lineRule="auto"/>
        <w:rPr>
          <w:sz w:val="20"/>
          <w:szCs w:val="20"/>
          <w:color w:val="auto"/>
        </w:rPr>
      </w:pPr>
      <w:r>
        <w:rPr>
          <w:rFonts w:ascii="Times New Roman" w:cs="Times New Roman" w:eastAsia="Times New Roman" w:hAnsi="Times New Roman"/>
          <w:sz w:val="14"/>
          <w:szCs w:val="14"/>
          <w:color w:val="auto"/>
        </w:rPr>
        <w:t>To the extent that any of the outstanding options are exercised, warrants to purchase shares of Common Stock are exercised or restricted stock units vest, there would be further dilution to investors participating in this offering.</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w:t>
      </w:r>
    </w:p>
    <w:p>
      <w:pPr>
        <w:spacing w:after="0" w:line="181" w:lineRule="exact"/>
        <w:rPr>
          <w:sz w:val="20"/>
          <w:szCs w:val="20"/>
          <w:color w:val="auto"/>
        </w:rPr>
      </w:pPr>
    </w:p>
    <w:p>
      <w:pPr>
        <w:jc w:val="both"/>
        <w:ind w:left="1320" w:right="219"/>
        <w:spacing w:after="0" w:line="259" w:lineRule="auto"/>
        <w:rPr>
          <w:sz w:val="20"/>
          <w:szCs w:val="20"/>
          <w:color w:val="auto"/>
        </w:rPr>
      </w:pPr>
      <w:r>
        <w:rPr>
          <w:rFonts w:ascii="Times New Roman" w:cs="Times New Roman" w:eastAsia="Times New Roman" w:hAnsi="Times New Roman"/>
          <w:sz w:val="14"/>
          <w:szCs w:val="14"/>
          <w:color w:val="auto"/>
        </w:rPr>
        <w:t>This prospectus relates to the reoffer and resale of up to 15,971,890 Resale Shares by the Selling Securityholder from time to time upon the exchange of the Notes. We are registering the Resale Shares in order to permit the Selling Securityholder to offer the Resale Shares for resale from time to time. For additional information regarding the Resale Shares being offered by the Selling Securityholder pursuant to this prospectus, see “Prospectus Summary— May 2026 Private Placement” above. As a closing condition to the issuance of the first tranche of Notes under the Purchase Agreement, we entered into the Registration Rights Agreement pursuant to which we agreed to file a registration statement with the SEC registering the resale of the Common Stock underlying the Notes sold to the Selling Securityholder.</w:t>
      </w:r>
    </w:p>
    <w:p>
      <w:pPr>
        <w:spacing w:after="0" w:line="144" w:lineRule="exact"/>
        <w:rPr>
          <w:sz w:val="20"/>
          <w:szCs w:val="20"/>
          <w:color w:val="auto"/>
        </w:rPr>
      </w:pPr>
    </w:p>
    <w:p>
      <w:pPr>
        <w:ind w:left="1320" w:right="239"/>
        <w:spacing w:after="0" w:line="271" w:lineRule="auto"/>
        <w:rPr>
          <w:sz w:val="20"/>
          <w:szCs w:val="20"/>
          <w:color w:val="auto"/>
        </w:rPr>
      </w:pPr>
      <w:r>
        <w:rPr>
          <w:rFonts w:ascii="Times New Roman" w:cs="Times New Roman" w:eastAsia="Times New Roman" w:hAnsi="Times New Roman"/>
          <w:sz w:val="14"/>
          <w:szCs w:val="14"/>
          <w:color w:val="auto"/>
        </w:rPr>
        <w:t xml:space="preserve">When we refer to the </w:t>
      </w:r>
      <w:r>
        <w:rPr>
          <w:rFonts w:ascii="Times New Roman" w:cs="Times New Roman" w:eastAsia="Times New Roman" w:hAnsi="Times New Roman"/>
          <w:sz w:val="14"/>
          <w:szCs w:val="14"/>
          <w:i w:val="1"/>
          <w:iCs w:val="1"/>
          <w:color w:val="auto"/>
        </w:rPr>
        <w:t>“Selling Securityholder”</w:t>
      </w:r>
      <w:r>
        <w:rPr>
          <w:rFonts w:ascii="Times New Roman" w:cs="Times New Roman" w:eastAsia="Times New Roman" w:hAnsi="Times New Roman"/>
          <w:sz w:val="14"/>
          <w:szCs w:val="14"/>
          <w:color w:val="auto"/>
        </w:rPr>
        <w:t xml:space="preserve"> in this prospectus, we mean the person listed in the table below, and the pledgees, donees, transferees, assignees, successors and others who later come to hold any of the Selling Securityholder’s interest in the Resale Shares after the date of this prospectus such that registration rights shall apply to those securities.</w:t>
      </w:r>
    </w:p>
    <w:p>
      <w:pPr>
        <w:spacing w:after="0" w:line="136"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The following table is prepared based on information provided to us by the Selling Securityholder. It sets forth the name and address of the Selling Securityholder, the aggregate number of Resale Shares beneficially owned as of the date of this prospectus, and the aggregate number of Resale Shares that the Selling Securityholder may offer pursuant to this prospectus, and the number of Resale Shares beneficially owned by the Selling Securityholder after the sale of the securities offered hereby. We have based percentage ownership after this offering on 31,144,754 shares of common stock outstanding as of March 31, 2026. Unless otherwise described below, to our knowledge, the Selling Securityholder has not held any position or office or had any other material relationship with us or our affiliates during the three years prior to the date of this prospectus. In addition, except as otherwise described below, based on the information provided to us by the Selling Securityholder, the Selling Securityholder is not a broker-dealer or affiliate of a broker-dealer.</w:t>
      </w:r>
    </w:p>
    <w:p>
      <w:pPr>
        <w:spacing w:after="0" w:line="149"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We cannot advise you as to whether the Selling Securityholder will in fact sell any or all of such Resale Shares. In addition, the Selling Securityholder may sell, transfer or otherwise dispose of, at any time and from time to time, the Resale Shares in transactions exempt from the registration requirements of the Securities Act after the date of this prospectus. For purposes of this table, we have assumed that the Selling Securityholder will have sold all of the securities covered by this prospectus upon the completion of the offering. Any changed or new information given to us by the Selling Securityholder, including regarding the identity of, and the securities held by, each Selling Securityholder, will be set forth in a prospectus supplement or amendments to the registration statement of which this prospectus is a part, if and when necessary.</w:t>
      </w:r>
    </w:p>
    <w:p>
      <w:pPr>
        <w:spacing w:after="0" w:line="144" w:lineRule="exact"/>
        <w:rPr>
          <w:sz w:val="20"/>
          <w:szCs w:val="20"/>
          <w:color w:val="auto"/>
        </w:rPr>
      </w:pPr>
    </w:p>
    <w:p>
      <w:pPr>
        <w:ind w:left="1320" w:right="719"/>
        <w:spacing w:after="0" w:line="290" w:lineRule="auto"/>
        <w:rPr>
          <w:sz w:val="20"/>
          <w:szCs w:val="20"/>
          <w:color w:val="auto"/>
        </w:rPr>
      </w:pPr>
      <w:r>
        <w:rPr>
          <w:rFonts w:ascii="Times New Roman" w:cs="Times New Roman" w:eastAsia="Times New Roman" w:hAnsi="Times New Roman"/>
          <w:sz w:val="14"/>
          <w:szCs w:val="14"/>
          <w:color w:val="auto"/>
        </w:rPr>
        <w:t>Please see the section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further information regarding the Selling Securityholder’s method of distributing these securities.</w:t>
      </w:r>
    </w:p>
    <w:p>
      <w:pPr>
        <w:spacing w:after="0" w:line="129" w:lineRule="exact"/>
        <w:rPr>
          <w:sz w:val="20"/>
          <w:szCs w:val="20"/>
          <w:color w:val="auto"/>
        </w:rPr>
      </w:pPr>
    </w:p>
    <w:tbl>
      <w:tblPr>
        <w:tblLayout w:type="fixed"/>
        <w:tblInd w:w="16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340" w:type="dxa"/>
            <w:vAlign w:val="bottom"/>
            <w:gridSpan w:val="2"/>
            <w:vMerge w:val="restart"/>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560" w:type="dxa"/>
            <w:vAlign w:val="bottom"/>
          </w:tcPr>
          <w:p>
            <w:pPr>
              <w:spacing w:after="0"/>
              <w:rPr>
                <w:sz w:val="10"/>
                <w:szCs w:val="10"/>
                <w:color w:val="auto"/>
              </w:rPr>
            </w:pPr>
          </w:p>
        </w:tc>
        <w:tc>
          <w:tcPr>
            <w:tcW w:w="10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7"/>
        </w:trPr>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w:t>
            </w:r>
          </w:p>
        </w:tc>
        <w:tc>
          <w:tcPr>
            <w:tcW w:w="580" w:type="dxa"/>
            <w:vAlign w:val="bottom"/>
          </w:tcPr>
          <w:p>
            <w:pPr>
              <w:spacing w:after="0"/>
              <w:rPr>
                <w:sz w:val="10"/>
                <w:szCs w:val="10"/>
                <w:color w:val="auto"/>
              </w:rPr>
            </w:pPr>
          </w:p>
        </w:tc>
        <w:tc>
          <w:tcPr>
            <w:tcW w:w="19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Common Stock Beneficially</w:t>
            </w:r>
          </w:p>
        </w:tc>
        <w:tc>
          <w:tcPr>
            <w:tcW w:w="6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Stock</w:t>
            </w:r>
          </w:p>
        </w:tc>
        <w:tc>
          <w:tcPr>
            <w:tcW w:w="13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5"/>
        </w:trPr>
        <w:tc>
          <w:tcPr>
            <w:tcW w:w="178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Being</w:t>
            </w:r>
          </w:p>
        </w:tc>
        <w:tc>
          <w:tcPr>
            <w:tcW w:w="58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1620" w:type="dxa"/>
            <w:vAlign w:val="bottom"/>
            <w:gridSpan w:val="3"/>
          </w:tcPr>
          <w:p>
            <w:pPr>
              <w:jc w:val="center"/>
              <w:ind w:left="343"/>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127"/>
        </w:trPr>
        <w:tc>
          <w:tcPr>
            <w:tcW w:w="1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Securityholder</w:t>
            </w:r>
          </w:p>
        </w:tc>
        <w:tc>
          <w:tcPr>
            <w:tcW w:w="2540" w:type="dxa"/>
            <w:vAlign w:val="bottom"/>
            <w:gridSpan w:val="3"/>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Owned Prior to this Offering</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w:t>
            </w:r>
          </w:p>
        </w:tc>
        <w:tc>
          <w:tcPr>
            <w:tcW w:w="5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this Offering</w:t>
            </w:r>
          </w:p>
        </w:tc>
        <w:tc>
          <w:tcPr>
            <w:tcW w:w="560" w:type="dxa"/>
            <w:vAlign w:val="bottom"/>
          </w:tcPr>
          <w:p>
            <w:pPr>
              <w:spacing w:after="0"/>
              <w:rPr>
                <w:sz w:val="11"/>
                <w:szCs w:val="1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after the Offering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7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CPIF II-7 Limited </w:t>
            </w:r>
            <w:r>
              <w:rPr>
                <w:rFonts w:ascii="Times New Roman" w:cs="Times New Roman" w:eastAsia="Times New Roman" w:hAnsi="Times New Roman"/>
                <w:sz w:val="17"/>
                <w:szCs w:val="17"/>
                <w:color w:val="auto"/>
                <w:vertAlign w:val="superscript"/>
              </w:rPr>
              <w:t>(1)</w:t>
            </w:r>
          </w:p>
        </w:tc>
        <w:tc>
          <w:tcPr>
            <w:tcW w:w="5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25,748,890</w:t>
            </w:r>
          </w:p>
        </w:tc>
        <w:tc>
          <w:tcPr>
            <w:tcW w:w="5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15,971,890</w:t>
            </w:r>
          </w:p>
        </w:tc>
        <w:tc>
          <w:tcPr>
            <w:tcW w:w="5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9,777,000</w:t>
            </w:r>
          </w:p>
        </w:tc>
        <w:tc>
          <w:tcPr>
            <w:tcW w:w="5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60" w:right="219" w:hanging="345"/>
        <w:spacing w:after="0" w:line="259" w:lineRule="auto"/>
        <w:tabs>
          <w:tab w:leader="none" w:pos="1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being offered is issuable to CPIF II-7 Limited, an entity affiliated with Celadon Partners SPV 24 (“Celadon”) upon exchange of the Notes.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Based upon the foregoing analysis, no individual shareholder of Celadon exercises voting or dispositive control over any of the securities held by Celadon, even those in which he directly holds an economic interest.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660" w:right="199"/>
        <w:spacing w:after="0" w:line="264" w:lineRule="auto"/>
        <w:rPr>
          <w:sz w:val="20"/>
          <w:szCs w:val="20"/>
          <w:color w:val="auto"/>
        </w:rPr>
      </w:pPr>
      <w:r>
        <w:rPr>
          <w:rFonts w:ascii="Times New Roman" w:cs="Times New Roman" w:eastAsia="Times New Roman" w:hAnsi="Times New Roman"/>
          <w:sz w:val="14"/>
          <w:szCs w:val="14"/>
          <w:color w:val="auto"/>
        </w:rPr>
        <w:t>Accordingly, none of them are deemed to have or share beneficial ownership of such shares. Mr. Donald Tang, a member of our board of directors, is a manager of Celadon Partners, LLC, which is the sole manager of Celadon, but does not have voting or investment power over the shares held by Celadon. The business address of Celadon is PO Box 500, Suite 210, 2nd Floor, Windward III, Regatta Office Park, Grand Cayman, KY1-1106, Cayman Islands.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Relationship with Selling Securityholder</w:t>
      </w:r>
    </w:p>
    <w:p>
      <w:pPr>
        <w:spacing w:after="0" w:line="96"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Pursuant to a letter agreement executed with Celadon in December 2024, Celadon had the right to designate certain directors to our Board, subject to the terms and conditions provided in its letter agreement. On December 9, 2024, Donald Tang was appointed as a director of our predecessor’s Board of Directors pursuant to the letter agreement with Celadon. On March 7, 2025, Feng Hsiung was appointed as a director of our predecessor’s Board of Directors and on July 18, 2025, Bryan Baum was appointed as a director of our predecessor’s Board of Directors pursuant to a request by Celadon under terms of the same letter agreement. In connection with our reorganization, we, Celadon and our predecessor entered into an amended and restated letter agreement adding us as a party to the letter agreement, and the same three directors were appointed to our Board. As of the date of this prospectus, Celadon held three of the eight seats on the Board.</w:t>
      </w:r>
    </w:p>
    <w:p>
      <w:pPr>
        <w:spacing w:after="0" w:line="147"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We have entered into certain agreements, which have been amended from time to time, with GeneFab, LLC, a Delaware limited liability company, or GeneFab, and Valere Bio, Inc., a Delaware corporation and the parent company of GeneFab, or Valere, which is wholly owned by a company managed by Celadon, for the transfer of certain assets, provision of services (for which we may be reimbursed) and sublease of our premises in California as well as license of our intellectual property rights to conduct manufacturing services. These agreements with GeneFab include a letter agreement whereby GeneFab has the option to purchase certain shares of our common stock, subject to the terms specified therein. This letter agreement relating to the option was assigned to Valere Holdings LLC, an affiliate of GeneFab, and it was terminated in April 2026. In addition, we entered into a economic share agreement in August 2023, pursuant to which we were entitled to receive 10% of the realized gains of GeneFab’s parent company, and this agreement was terminated in April 2026. Donald Tang, who is currently a member of our Board, is a manager of Celadon Partners, LLC, which is the sole manager of Celadon.</w:t>
      </w:r>
    </w:p>
    <w:p>
      <w:pPr>
        <w:spacing w:after="0" w:line="146" w:lineRule="exact"/>
        <w:rPr>
          <w:sz w:val="20"/>
          <w:szCs w:val="20"/>
          <w:color w:val="auto"/>
        </w:rPr>
      </w:pPr>
    </w:p>
    <w:p>
      <w:pPr>
        <w:ind w:left="1320" w:right="459"/>
        <w:spacing w:after="0" w:line="287" w:lineRule="auto"/>
        <w:rPr>
          <w:sz w:val="20"/>
          <w:szCs w:val="20"/>
          <w:color w:val="auto"/>
        </w:rPr>
      </w:pPr>
      <w:r>
        <w:rPr>
          <w:rFonts w:ascii="Times New Roman" w:cs="Times New Roman" w:eastAsia="Times New Roman" w:hAnsi="Times New Roman"/>
          <w:sz w:val="14"/>
          <w:szCs w:val="14"/>
          <w:color w:val="auto"/>
        </w:rPr>
        <w:t>In December 2024, we sold certain warrants and shares of convertible preferred stock to Celadon, and the shares of Common Stock underlying such securities were registered for resale pursuant to a registration rights agreement.</w:t>
      </w:r>
    </w:p>
    <w:p>
      <w:pPr>
        <w:spacing w:after="0" w:line="124" w:lineRule="exact"/>
        <w:rPr>
          <w:sz w:val="20"/>
          <w:szCs w:val="20"/>
          <w:color w:val="auto"/>
        </w:rPr>
      </w:pPr>
    </w:p>
    <w:p>
      <w:pPr>
        <w:ind w:left="1320" w:right="259"/>
        <w:spacing w:after="0" w:line="287" w:lineRule="auto"/>
        <w:rPr>
          <w:sz w:val="20"/>
          <w:szCs w:val="20"/>
          <w:color w:val="auto"/>
        </w:rPr>
      </w:pPr>
      <w:r>
        <w:rPr>
          <w:rFonts w:ascii="Times New Roman" w:cs="Times New Roman" w:eastAsia="Times New Roman" w:hAnsi="Times New Roman"/>
          <w:sz w:val="14"/>
          <w:szCs w:val="14"/>
          <w:color w:val="auto"/>
        </w:rPr>
        <w:t>Other than these relationships with Celadon, the Selling Securityholder has not had a material relationship with us or any of our predecessors within the past three years, other than as a result of the ownership of shares of Common Stock, the Notes or other securities.</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9" w:lineRule="exact"/>
        <w:rPr>
          <w:sz w:val="20"/>
          <w:szCs w:val="20"/>
          <w:color w:val="auto"/>
        </w:rPr>
      </w:pPr>
    </w:p>
    <w:p>
      <w:pPr>
        <w:ind w:left="1320" w:right="179"/>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description summarizes certain important terms of our capital stock as of the date of this prospectus as specified in our Amended and Restated Certificate of Incorporation (as amended and/or restated from time to time, the “Charter”) and our Amended and Restated Bylaws (the “Bylaws”). Because the following description is only a summary, it does not contain all the information that may be important to you. For a complete description of the matters set forth in this section titled “Description of Securities,” you should refer to the Charter, the Bylaws, the Investor Rights and Lock-up Agreement dated June 8, 2022, by and among us (as successor to Senti Biosciences, Inc.) and the parties listed therein as Investors (the “Investor Rights and Lock-Up Agreement”), and the Registration Rights Agreement dated December 2, 2024 between us (as successor to Senti Biosciences, Inc.) and the parties listed therein (the “Registration Rights Agreement”), which are included as exhibits to Senti Biosciences, Inc.’s Annual Report on Form 10-K for the year ended December 31, 2025, and to the applicable provisions of the Delaware General Corporation Law (the “DGCL”).</w:t>
      </w:r>
    </w:p>
    <w:p>
      <w:pPr>
        <w:spacing w:after="0" w:line="3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96" w:lineRule="exact"/>
        <w:rPr>
          <w:sz w:val="20"/>
          <w:szCs w:val="20"/>
          <w:color w:val="auto"/>
        </w:rPr>
      </w:pPr>
    </w:p>
    <w:p>
      <w:pPr>
        <w:ind w:left="1320" w:right="299"/>
        <w:spacing w:after="0" w:line="270" w:lineRule="auto"/>
        <w:rPr>
          <w:sz w:val="20"/>
          <w:szCs w:val="20"/>
          <w:color w:val="auto"/>
        </w:rPr>
      </w:pPr>
      <w:r>
        <w:rPr>
          <w:rFonts w:ascii="Times New Roman" w:cs="Times New Roman" w:eastAsia="Times New Roman" w:hAnsi="Times New Roman"/>
          <w:sz w:val="14"/>
          <w:szCs w:val="14"/>
          <w:color w:val="auto"/>
        </w:rPr>
        <w:t>The Charter authorizes the issuance of 510,000,000 shares, consisting of 500,000,000 shares of common stock, $0.0001 par value per share, and 10,000,000 shares of undesignated preferred stock, $0.0001 par value per share. As of March 31, 2026, there were 31,144,754 shares of common stock outstanding and no shares of preferred stock outstanding.</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Charter provides the following with respect to the rights, powers, preferences and privileges of our common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96"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Except as otherwise required by law or as otherwise provided in any certificate of designation for any series of preferred stock, the holders of our common stock possess all voting power for the election of the directors and all other matters requiring stockholder action. Holders of our common stock are entitled to one vote per share on matters to be voted on by stockholders.</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Holders of our common stock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our common stock unless our common stock at the time outstanding are treated equally and identically.</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96" w:lineRule="exact"/>
        <w:rPr>
          <w:sz w:val="20"/>
          <w:szCs w:val="20"/>
          <w:color w:val="auto"/>
        </w:rPr>
      </w:pPr>
    </w:p>
    <w:p>
      <w:pPr>
        <w:ind w:left="1320" w:right="659"/>
        <w:spacing w:after="0" w:line="287" w:lineRule="auto"/>
        <w:rPr>
          <w:sz w:val="20"/>
          <w:szCs w:val="20"/>
          <w:color w:val="auto"/>
        </w:rPr>
      </w:pPr>
      <w:r>
        <w:rPr>
          <w:rFonts w:ascii="Times New Roman" w:cs="Times New Roman" w:eastAsia="Times New Roman" w:hAnsi="Times New Roman"/>
          <w:sz w:val="14"/>
          <w:szCs w:val="14"/>
          <w:color w:val="auto"/>
        </w:rPr>
        <w:t>In the event of our voluntary or involuntary liquidation, dissolution or winding-up, our net assets will be distributed pro rata to the holders of our common stock, subject to the rights of the holders of the preferred stock, if any.</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There are no sinking fund provisions applicable to our common stock.</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Rights</w:t>
      </w:r>
    </w:p>
    <w:p>
      <w:pPr>
        <w:spacing w:after="0" w:line="96" w:lineRule="exact"/>
        <w:rPr>
          <w:sz w:val="20"/>
          <w:szCs w:val="20"/>
          <w:color w:val="auto"/>
        </w:rPr>
      </w:pPr>
    </w:p>
    <w:p>
      <w:pPr>
        <w:ind w:left="1320" w:right="379"/>
        <w:spacing w:after="0" w:line="287" w:lineRule="auto"/>
        <w:rPr>
          <w:sz w:val="20"/>
          <w:szCs w:val="20"/>
          <w:color w:val="auto"/>
        </w:rPr>
      </w:pPr>
      <w:r>
        <w:rPr>
          <w:rFonts w:ascii="Times New Roman" w:cs="Times New Roman" w:eastAsia="Times New Roman" w:hAnsi="Times New Roman"/>
          <w:sz w:val="14"/>
          <w:szCs w:val="14"/>
          <w:color w:val="auto"/>
        </w:rPr>
        <w:t>Subject to applicable law and the transfer restrictions set forth in Article IV of the Bylaws, shares of our common stock and the rights and obligations associated therewith are fully transferable to any transferee.</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6" w:lineRule="exact"/>
        <w:rPr>
          <w:sz w:val="20"/>
          <w:szCs w:val="20"/>
          <w:color w:val="auto"/>
        </w:rPr>
      </w:pPr>
    </w:p>
    <w:p>
      <w:pPr>
        <w:ind w:left="1320" w:right="299"/>
        <w:spacing w:after="0" w:line="259" w:lineRule="auto"/>
        <w:rPr>
          <w:sz w:val="20"/>
          <w:szCs w:val="20"/>
          <w:color w:val="auto"/>
        </w:rPr>
      </w:pPr>
      <w:r>
        <w:rPr>
          <w:rFonts w:ascii="Times New Roman" w:cs="Times New Roman" w:eastAsia="Times New Roman" w:hAnsi="Times New Roman"/>
          <w:sz w:val="14"/>
          <w:szCs w:val="14"/>
          <w:color w:val="auto"/>
        </w:rPr>
        <w:t>The Charter provides that shares of preferred stock may be issued from time to time in one or more series. Our board of directors is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is also able to, without stockholder approval, issue preferred stock with voting and other rights that could adversely affect the voting power and other rights of the holders of our common stock and could have anti-takeover effects. The ability of our board of directors to issue preferred stock without stockholder approval could have the effect of delaying, deferring or preventing a change of control of Senti or the removal of existing management.</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2022 Registration Rights Agreement</w:t>
      </w:r>
    </w:p>
    <w:p>
      <w:pPr>
        <w:spacing w:after="0" w:line="96" w:lineRule="exact"/>
        <w:rPr>
          <w:sz w:val="20"/>
          <w:szCs w:val="20"/>
          <w:color w:val="auto"/>
        </w:rPr>
      </w:pPr>
    </w:p>
    <w:p>
      <w:pPr>
        <w:ind w:left="1320" w:right="259"/>
        <w:spacing w:after="0" w:line="287" w:lineRule="auto"/>
        <w:rPr>
          <w:sz w:val="20"/>
          <w:szCs w:val="20"/>
          <w:color w:val="auto"/>
        </w:rPr>
      </w:pPr>
      <w:r>
        <w:rPr>
          <w:rFonts w:ascii="Times New Roman" w:cs="Times New Roman" w:eastAsia="Times New Roman" w:hAnsi="Times New Roman"/>
          <w:sz w:val="14"/>
          <w:szCs w:val="14"/>
          <w:color w:val="auto"/>
        </w:rPr>
        <w:t>We (as successor to Senti Biosciences, Inc.) and certain of our stockholders are party to the Investor Rights and Lock-up Agreement, pursuant to which, among other things, such stockholders were granted certain registration rights with respect to certain shares of securities held by them.</w:t>
      </w:r>
    </w:p>
    <w:p>
      <w:pPr>
        <w:spacing w:after="0" w:line="124"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holders of the Founder Shares (as defined in the Investor Rights and Lock-up Agreement), the holders of the Private Placement Shares (as defined in the Business Combination Agreement) and the Anchor Investors (as defined in the Business Combination Agreement) are entitled to registration rights pursuant to the registration and stockholder rights agreement requiring us to register such securities for resale.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Under the Investor Rights and Lock-up Agreement, the Anchor Investors will be entitled to registration rights in respect of these shares. In addition, the PIPE Investors (as defined in the Business Combination Agreement) are entitled to registration rights pursuant to the subscription agreements they entered into with us in connection with the PIPE Investment (as defined in the Business Combination Agreement).</w:t>
      </w:r>
    </w:p>
    <w:p>
      <w:pPr>
        <w:spacing w:after="0" w:line="150" w:lineRule="exact"/>
        <w:rPr>
          <w:sz w:val="20"/>
          <w:szCs w:val="20"/>
          <w:color w:val="auto"/>
        </w:rPr>
      </w:pPr>
    </w:p>
    <w:p>
      <w:pPr>
        <w:ind w:left="1320" w:right="239"/>
        <w:spacing w:after="0" w:line="287" w:lineRule="auto"/>
        <w:rPr>
          <w:sz w:val="20"/>
          <w:szCs w:val="20"/>
          <w:color w:val="auto"/>
        </w:rPr>
      </w:pPr>
      <w:r>
        <w:rPr>
          <w:rFonts w:ascii="Times New Roman" w:cs="Times New Roman" w:eastAsia="Times New Roman" w:hAnsi="Times New Roman"/>
          <w:sz w:val="14"/>
          <w:szCs w:val="14"/>
          <w:color w:val="auto"/>
        </w:rPr>
        <w:t>These registration rights are only applicable so long as we do not already have a resale registration statement in effective for these shares. As of the date of this prospectus, we currently have in effect a resale registration statement for the shares included in the Investor Rights and Lock-up Agreement.</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 (PIPE Transaction)</w:t>
      </w:r>
    </w:p>
    <w:p>
      <w:pPr>
        <w:spacing w:after="0" w:line="96"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We (as successor to Senti Biosciences, Inc.) and the investors, who participated in the private placement transaction in December 2024 (the “PIPE Transaction”), are party to a registration rights agreement, pursuant to which, among other things, we agreed to file, as promptly as reasonably practicable following the closing of the PIPE Transaction, but, in any event, not later than one hundred twenty (120) days thereafter (the “PIPE Filing Date”), a resale registration statement on Form S-3 (or Form S-1 if Form S-3 is not available) providing for the resale by the Selling Securityholders of (i) the shares of common stock issuable upon conversion of the Series A</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Preferred Stock and (ii) the shares of common stock issuable upon the exercise of the Warrants , wherein (i) and (ii) collectively are referred to as the Registrable Shares, and to use commercially reasonable efforts to cause such resale registration statement to be declared effective as soon as practicable but in any event no later than the earlier of (a) the seventy-fifth (75th) calendar day following the PIPE Filing Date of the registration statement if the SEC notifies us that it will “review” the registration statement and (b) the fifth (5th)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w:t>
      </w:r>
    </w:p>
    <w:p>
      <w:pPr>
        <w:spacing w:after="0" w:line="2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 (Notes Offering)</w:t>
      </w:r>
    </w:p>
    <w:p>
      <w:pPr>
        <w:spacing w:after="0" w:line="96"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We and the Selling Securityholder who participated in the issuance of the Notes entered into the Registration Rights Agreement, pursuant to which, among other things, we agreed to file, as promptly as reasonably practicable following any issuance of the Notes, but, in any event, not later than thirty days thereafter (the “Filing Deadline”), a resale registration statement on Form S-3 (or another appropriate form if Form S-3 is not available) providing for the resale by the Selling Securityholder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the Selling Securityholder shall have resold all the Registrable Securities covered thereby pursuant to Rule 144 or pursuant to such registration statement, (ii) the date on which the Registrable Securities may be resold by the Selling Securityholder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w:t>
      </w:r>
    </w:p>
    <w:p>
      <w:pPr>
        <w:spacing w:after="0" w:line="2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Charter and Bylaws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Among other things, the Charter and Bylaws (as amended from time to time):</w:t>
      </w:r>
    </w:p>
    <w:p>
      <w:pPr>
        <w:spacing w:after="0" w:line="104" w:lineRule="exact"/>
        <w:rPr>
          <w:sz w:val="20"/>
          <w:szCs w:val="20"/>
          <w:color w:val="auto"/>
        </w:rPr>
      </w:pPr>
    </w:p>
    <w:p>
      <w:pPr>
        <w:ind w:left="2080" w:right="379" w:hanging="340"/>
        <w:spacing w:after="0" w:line="287"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number of directors may be changed only by resolution of our board of directors;</w:t>
      </w:r>
    </w:p>
    <w:p>
      <w:pPr>
        <w:spacing w:after="0" w:line="104" w:lineRule="exact"/>
        <w:rPr>
          <w:rFonts w:ascii="Times New Roman" w:cs="Times New Roman" w:eastAsia="Times New Roman" w:hAnsi="Times New Roman"/>
          <w:sz w:val="14"/>
          <w:szCs w:val="14"/>
          <w:color w:val="auto"/>
        </w:rPr>
      </w:pPr>
    </w:p>
    <w:p>
      <w:pPr>
        <w:jc w:val="both"/>
        <w:ind w:left="2080" w:right="599" w:hanging="340"/>
        <w:spacing w:after="0" w:line="287"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be removed only with cause by the holders of at least 75% of all of our then-outstanding shares of the capital stock entitled to vote generally at an election of directors;</w:t>
      </w:r>
    </w:p>
    <w:p>
      <w:pPr>
        <w:spacing w:after="0" w:line="49" w:lineRule="exact"/>
        <w:rPr>
          <w:rFonts w:ascii="Times New Roman" w:cs="Times New Roman" w:eastAsia="Times New Roman" w:hAnsi="Times New Roman"/>
          <w:sz w:val="14"/>
          <w:szCs w:val="14"/>
          <w:color w:val="auto"/>
        </w:rPr>
      </w:pPr>
    </w:p>
    <w:p>
      <w:pPr>
        <w:ind w:left="2080" w:right="579" w:hanging="340"/>
        <w:spacing w:after="0" w:line="287"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subject to the rights of any series of preferred stock, including newly created directorships, may, except as otherwise required by law, be filled by the affirmative vote of a majority of directors then in office, even if less than a quorum;</w:t>
      </w:r>
    </w:p>
    <w:p>
      <w:pPr>
        <w:spacing w:after="0" w:line="49" w:lineRule="exact"/>
        <w:rPr>
          <w:rFonts w:ascii="Times New Roman" w:cs="Times New Roman" w:eastAsia="Times New Roman" w:hAnsi="Times New Roman"/>
          <w:sz w:val="14"/>
          <w:szCs w:val="14"/>
          <w:color w:val="auto"/>
        </w:rPr>
      </w:pPr>
    </w:p>
    <w:p>
      <w:pPr>
        <w:ind w:left="2080" w:right="279" w:hanging="340"/>
        <w:spacing w:after="0" w:line="270"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239" w:hanging="340"/>
        <w:spacing w:after="0" w:line="287"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by our board of directors pursuant to a resolution adopted by a majority of the board;</w:t>
      </w:r>
    </w:p>
    <w:p>
      <w:pPr>
        <w:spacing w:after="0" w:line="49" w:lineRule="exact"/>
        <w:rPr>
          <w:rFonts w:ascii="Times New Roman" w:cs="Times New Roman" w:eastAsia="Times New Roman" w:hAnsi="Times New Roman"/>
          <w:sz w:val="14"/>
          <w:szCs w:val="14"/>
          <w:color w:val="auto"/>
        </w:rPr>
      </w:pPr>
    </w:p>
    <w:p>
      <w:pPr>
        <w:ind w:left="2080" w:right="519" w:hanging="340"/>
        <w:spacing w:after="0" w:line="287"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divided into three classes of directors, with the directors serving three year terms, therefore making it more difficult for stockholders to change the composition of our board of directors; and</w:t>
      </w:r>
    </w:p>
    <w:p>
      <w:pPr>
        <w:spacing w:after="0" w:line="49" w:lineRule="exact"/>
        <w:rPr>
          <w:rFonts w:ascii="Times New Roman" w:cs="Times New Roman" w:eastAsia="Times New Roman" w:hAnsi="Times New Roman"/>
          <w:sz w:val="14"/>
          <w:szCs w:val="14"/>
          <w:color w:val="auto"/>
        </w:rPr>
      </w:pPr>
    </w:p>
    <w:p>
      <w:pPr>
        <w:ind w:left="2080" w:right="279" w:hanging="340"/>
        <w:spacing w:after="0" w:line="287"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our common stock entitled to vote in any election of directors to elect all of the directors standing for election, if they should so choose.</w:t>
      </w:r>
    </w:p>
    <w:p>
      <w:pPr>
        <w:spacing w:after="0" w:line="124" w:lineRule="exact"/>
        <w:rPr>
          <w:sz w:val="20"/>
          <w:szCs w:val="20"/>
          <w:color w:val="auto"/>
        </w:rPr>
      </w:pPr>
    </w:p>
    <w:p>
      <w:pPr>
        <w:ind w:left="1320" w:right="379"/>
        <w:spacing w:after="0" w:line="258" w:lineRule="auto"/>
        <w:rPr>
          <w:sz w:val="20"/>
          <w:szCs w:val="20"/>
          <w:color w:val="auto"/>
        </w:rPr>
      </w:pPr>
      <w:r>
        <w:rPr>
          <w:rFonts w:ascii="Times New Roman" w:cs="Times New Roman" w:eastAsia="Times New Roman" w:hAnsi="Times New Roman"/>
          <w:sz w:val="14"/>
          <w:szCs w:val="14"/>
          <w:color w:val="auto"/>
        </w:rPr>
        <w:t>To the fullest extent permitted by the DGCL, our Charter and Bylaws, provide that our board of directors and Officers (as defined in the DGCL) shall not be personally liable to us or our stockholders for monetary damages for breach of their fiduciary duty except for liability (a) for any breach of the director or officer’s duty of loyalty to us or our stockholders, (b) for the director or officer’s acts or omissions not in good faith or which involve intentional misconduct or a knowing violation of law, (c) for any transaction from which the director or officer derived an improper personal benefit,</w:t>
      </w:r>
    </w:p>
    <w:p>
      <w:pPr>
        <w:spacing w:after="0" w:line="1" w:lineRule="exact"/>
        <w:rPr>
          <w:sz w:val="20"/>
          <w:szCs w:val="20"/>
          <w:color w:val="auto"/>
        </w:rPr>
      </w:pPr>
    </w:p>
    <w:p>
      <w:pPr>
        <w:ind w:left="1320" w:right="719" w:hanging="5"/>
        <w:spacing w:after="0" w:line="266" w:lineRule="auto"/>
        <w:tabs>
          <w:tab w:leader="none" w:pos="1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directors, under Section 174 of the DGCL or (e) in the case of officers, arising from any claim brought by or in the right of the Company.</w:t>
      </w:r>
    </w:p>
    <w:p>
      <w:pPr>
        <w:spacing w:after="0" w:line="138"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4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our control.</w:t>
      </w:r>
    </w:p>
    <w:p>
      <w:pPr>
        <w:spacing w:after="0" w:line="143"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Certain Anti-Takeover Provisions of Delaware Law</w:t>
      </w:r>
    </w:p>
    <w:p>
      <w:pPr>
        <w:spacing w:after="0" w:line="96" w:lineRule="exact"/>
        <w:rPr>
          <w:sz w:val="20"/>
          <w:szCs w:val="20"/>
          <w:color w:val="auto"/>
        </w:rPr>
      </w:pPr>
    </w:p>
    <w:p>
      <w:pPr>
        <w:ind w:left="1320" w:right="419"/>
        <w:spacing w:after="0" w:line="287" w:lineRule="auto"/>
        <w:rPr>
          <w:sz w:val="20"/>
          <w:szCs w:val="20"/>
          <w:color w:val="auto"/>
        </w:rPr>
      </w:pPr>
      <w:r>
        <w:rPr>
          <w:rFonts w:ascii="Times New Roman" w:cs="Times New Roman" w:eastAsia="Times New Roman" w:hAnsi="Times New Roman"/>
          <w:sz w:val="14"/>
          <w:szCs w:val="14"/>
          <w:color w:val="auto"/>
        </w:rPr>
        <w:t>We are subject to the provisions of Section 203 of the DGCL. This statute prevents certain Delaware corporations, under certain circumstances, from engaging in a “business combination” with:</w:t>
      </w:r>
    </w:p>
    <w:p>
      <w:pPr>
        <w:spacing w:after="0" w:line="50" w:lineRule="exact"/>
        <w:rPr>
          <w:sz w:val="20"/>
          <w:szCs w:val="20"/>
          <w:color w:val="auto"/>
        </w:rPr>
      </w:pPr>
    </w:p>
    <w:p>
      <w:pPr>
        <w:ind w:left="2080" w:hanging="340"/>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stockholder who owns 15% or more of our outstanding voting stock, otherwise known as an “interested stockholder”;</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of an interested stockholder; or</w:t>
      </w:r>
    </w:p>
    <w:p>
      <w:pPr>
        <w:spacing w:after="0" w:line="104" w:lineRule="exact"/>
        <w:rPr>
          <w:rFonts w:ascii="Times New Roman" w:cs="Times New Roman" w:eastAsia="Times New Roman" w:hAnsi="Times New Roman"/>
          <w:sz w:val="14"/>
          <w:szCs w:val="14"/>
          <w:color w:val="auto"/>
        </w:rPr>
      </w:pPr>
    </w:p>
    <w:p>
      <w:pPr>
        <w:jc w:val="center"/>
        <w:ind w:left="5580" w:right="759" w:hanging="3840"/>
        <w:spacing w:after="0" w:line="461" w:lineRule="auto"/>
        <w:tabs>
          <w:tab w:leader="none" w:pos="208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associate of an interested stockholder, for three years following the date that the stockholder became an interested stockholder. 19</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399"/>
        <w:spacing w:after="0" w:line="287" w:lineRule="auto"/>
        <w:rPr>
          <w:sz w:val="20"/>
          <w:szCs w:val="20"/>
          <w:color w:val="auto"/>
        </w:rPr>
      </w:pPr>
      <w:r>
        <w:rPr>
          <w:rFonts w:ascii="Times New Roman" w:cs="Times New Roman" w:eastAsia="Times New Roman" w:hAnsi="Times New Roman"/>
          <w:sz w:val="14"/>
          <w:szCs w:val="14"/>
          <w:color w:val="auto"/>
        </w:rPr>
        <w:t>A “business combination” includes a merger or sale of more than 10% of a corporation’s assets. However, the above provisions of Section 203 would not apply if:</w:t>
      </w:r>
    </w:p>
    <w:p>
      <w:pPr>
        <w:spacing w:after="0" w:line="50" w:lineRule="exact"/>
        <w:rPr>
          <w:sz w:val="20"/>
          <w:szCs w:val="20"/>
          <w:color w:val="auto"/>
        </w:rPr>
      </w:pPr>
    </w:p>
    <w:p>
      <w:pPr>
        <w:ind w:left="2080" w:right="579" w:hanging="340"/>
        <w:spacing w:after="0" w:line="287" w:lineRule="auto"/>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relevant board of directors approves the transaction that made the stockholder an “interested stockholder,” prior to the date of the transaction;</w:t>
      </w:r>
    </w:p>
    <w:p>
      <w:pPr>
        <w:spacing w:after="0" w:line="49" w:lineRule="exact"/>
        <w:rPr>
          <w:rFonts w:ascii="Times New Roman" w:cs="Times New Roman" w:eastAsia="Times New Roman" w:hAnsi="Times New Roman"/>
          <w:sz w:val="14"/>
          <w:szCs w:val="14"/>
          <w:color w:val="auto"/>
        </w:rPr>
      </w:pPr>
    </w:p>
    <w:p>
      <w:pPr>
        <w:ind w:left="2080" w:right="279" w:hanging="340"/>
        <w:spacing w:after="0" w:line="270" w:lineRule="auto"/>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w:t>
      </w:r>
    </w:p>
    <w:p>
      <w:pPr>
        <w:spacing w:after="0" w:line="61" w:lineRule="exact"/>
        <w:rPr>
          <w:rFonts w:ascii="Times New Roman" w:cs="Times New Roman" w:eastAsia="Times New Roman" w:hAnsi="Times New Roman"/>
          <w:sz w:val="14"/>
          <w:szCs w:val="14"/>
          <w:color w:val="auto"/>
        </w:rPr>
      </w:pPr>
    </w:p>
    <w:p>
      <w:pPr>
        <w:ind w:left="2080" w:right="399" w:hanging="340"/>
        <w:spacing w:after="0" w:line="270" w:lineRule="auto"/>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These provisions may have the effect of delaying, deferring, or preventing changes in control.</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6"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DGCL, our Charter or our Bylaws (including their interpretation, validity or enforceability); or (iv) any action asserting a claim governed by the internal affairs doctrine. This exclusive forum provision will not apply to any causes of action arising under the Securities Act of 1933 (the “Securities Act”), or the Securities Exchange Act of 1934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w:t>
      </w:r>
    </w:p>
    <w:p>
      <w:pPr>
        <w:spacing w:after="0" w:line="148" w:lineRule="exact"/>
        <w:rPr>
          <w:sz w:val="20"/>
          <w:szCs w:val="20"/>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Continental Stock Transfer &amp; Trust Company is the transfer agent for our common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Trading Symbol and Market</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“SNTI”.</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1" w:lineRule="exact"/>
        <w:rPr>
          <w:sz w:val="20"/>
          <w:szCs w:val="20"/>
          <w:color w:val="auto"/>
        </w:rPr>
      </w:pPr>
    </w:p>
    <w:p>
      <w:pPr>
        <w:ind w:left="1320" w:right="179"/>
        <w:spacing w:after="0" w:line="259" w:lineRule="auto"/>
        <w:rPr>
          <w:sz w:val="20"/>
          <w:szCs w:val="20"/>
          <w:color w:val="auto"/>
        </w:rPr>
      </w:pPr>
      <w:r>
        <w:rPr>
          <w:rFonts w:ascii="Times New Roman" w:cs="Times New Roman" w:eastAsia="Times New Roman" w:hAnsi="Times New Roman"/>
          <w:sz w:val="14"/>
          <w:szCs w:val="14"/>
          <w:color w:val="auto"/>
        </w:rPr>
        <w:t>The selling stockholders, which as used herein includes the Selling Securityholder and donees, pledgees, transferees or other successors-in-interest selling shares of common stock or interests in shares of common stock received after the date of this prospectus from the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selling stockholders may use any one or more of the following methods when disposing of shares or interests therein:</w:t>
      </w:r>
    </w:p>
    <w:p>
      <w:pPr>
        <w:spacing w:after="0" w:line="104" w:lineRule="exact"/>
        <w:rPr>
          <w:sz w:val="20"/>
          <w:szCs w:val="20"/>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equityholders of the selling stockholders;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4" w:lineRule="exact"/>
        <w:rPr>
          <w:rFonts w:ascii="Times New Roman" w:cs="Times New Roman" w:eastAsia="Times New Roman" w:hAnsi="Times New Roman"/>
          <w:sz w:val="14"/>
          <w:szCs w:val="14"/>
          <w:color w:val="auto"/>
        </w:rPr>
      </w:pPr>
    </w:p>
    <w:p>
      <w:pPr>
        <w:ind w:left="2080" w:right="679" w:hanging="340"/>
        <w:spacing w:after="0" w:line="287" w:lineRule="auto"/>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and settlement of short sales;</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stockholders to sell a specified number of such shares at a stipulated price per share;</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4" w:lineRule="exact"/>
        <w:rPr>
          <w:rFonts w:ascii="Times New Roman" w:cs="Times New Roman" w:eastAsia="Times New Roman" w:hAnsi="Times New Roman"/>
          <w:sz w:val="14"/>
          <w:szCs w:val="14"/>
          <w:color w:val="auto"/>
        </w:rPr>
      </w:pPr>
    </w:p>
    <w:p>
      <w:pPr>
        <w:ind w:left="2080" w:hanging="340"/>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9"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46"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 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40" w:lineRule="exact"/>
        <w:rPr>
          <w:sz w:val="20"/>
          <w:szCs w:val="20"/>
          <w:color w:val="auto"/>
        </w:rPr>
      </w:pPr>
    </w:p>
    <w:p>
      <w:pPr>
        <w:ind w:left="1320" w:right="439"/>
        <w:spacing w:after="0" w:line="270" w:lineRule="auto"/>
        <w:rPr>
          <w:sz w:val="20"/>
          <w:szCs w:val="20"/>
          <w:color w:val="auto"/>
        </w:rPr>
      </w:pPr>
      <w:r>
        <w:rPr>
          <w:rFonts w:ascii="Times New Roman" w:cs="Times New Roman" w:eastAsia="Times New Roman" w:hAnsi="Times New Roman"/>
          <w:sz w:val="14"/>
          <w:szCs w:val="14"/>
          <w:color w:val="auto"/>
        </w:rPr>
        <w:t xml:space="preserve">The selling stockholders also may resell all or a portion of the shares in open market transactions in reliance upon Rule 144 under the Securities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they meet the criteria and conform to the requirements of that rule, or another available exemption from the registration requirements under the Securities Act.</w:t>
      </w:r>
    </w:p>
    <w:p>
      <w:pPr>
        <w:spacing w:after="0" w:line="136"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43" w:lineRule="exact"/>
        <w:rPr>
          <w:sz w:val="20"/>
          <w:szCs w:val="20"/>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40" w:lineRule="exact"/>
        <w:rPr>
          <w:sz w:val="20"/>
          <w:szCs w:val="20"/>
          <w:color w:val="auto"/>
        </w:rPr>
      </w:pPr>
    </w:p>
    <w:p>
      <w:pPr>
        <w:ind w:left="1320" w:right="279"/>
        <w:spacing w:after="0" w:line="270"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left="1320" w:right="199"/>
        <w:spacing w:after="0" w:line="287" w:lineRule="auto"/>
        <w:rPr>
          <w:sz w:val="20"/>
          <w:szCs w:val="20"/>
          <w:color w:val="auto"/>
        </w:rPr>
      </w:pPr>
      <w:r>
        <w:rPr>
          <w:rFonts w:ascii="Times New Roman" w:cs="Times New Roman" w:eastAsia="Times New Roman" w:hAnsi="Times New Roman"/>
          <w:sz w:val="14"/>
          <w:szCs w:val="14"/>
          <w:color w:val="auto"/>
        </w:rPr>
        <w:t>We have agreed to indemnify the selling stockholders against liabilities, including liabilities under the Securities Act and state securities laws, relating to the registration of the shares offered by this prospectus.</w:t>
      </w:r>
    </w:p>
    <w:p>
      <w:pPr>
        <w:spacing w:after="0" w:line="124"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and (iii) the date on which the Notes are redeemed, repaid or otherwise repurchased.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1" w:lineRule="exact"/>
        <w:rPr>
          <w:sz w:val="20"/>
          <w:szCs w:val="20"/>
          <w:color w:val="auto"/>
        </w:rPr>
      </w:pPr>
    </w:p>
    <w:p>
      <w:pPr>
        <w:ind w:left="1320" w:right="499"/>
        <w:spacing w:after="0" w:line="287" w:lineRule="auto"/>
        <w:rPr>
          <w:sz w:val="20"/>
          <w:szCs w:val="20"/>
          <w:color w:val="auto"/>
        </w:rPr>
      </w:pPr>
      <w:r>
        <w:rPr>
          <w:rFonts w:ascii="Times New Roman" w:cs="Times New Roman" w:eastAsia="Times New Roman" w:hAnsi="Times New Roman"/>
          <w:sz w:val="14"/>
          <w:szCs w:val="14"/>
          <w:color w:val="auto"/>
        </w:rPr>
        <w:t>Gunderson Dettmer Stough Villeneuve Franklin &amp; Hachigian, LLP has passed upon the validity of the Resale Shares offered by this prospectus and certain other legal matters related to this prospectus.</w:t>
      </w:r>
    </w:p>
    <w:p>
      <w:pPr>
        <w:spacing w:after="0" w:line="2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1"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Senti Biosciences,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authority of said firm as experts in accounting and auditing. The audit report covering the December 31, 2025 consolidated financial statements contains an explanatory paragraph that states that the Company has incurred recurring losses and negative cash flows from operations and has an accumulated deficit that raise substantial doubt about the entity’s ability to continue as a going concern. The consolidated financial statements do not include any adjustments that might result from the outcome of that uncertainty.</w:t>
      </w:r>
    </w:p>
    <w:p>
      <w:pPr>
        <w:spacing w:after="0" w:line="3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1" w:lineRule="exact"/>
        <w:rPr>
          <w:sz w:val="20"/>
          <w:szCs w:val="20"/>
          <w:color w:val="auto"/>
        </w:rPr>
      </w:pPr>
    </w:p>
    <w:p>
      <w:pPr>
        <w:jc w:val="both"/>
        <w:ind w:left="1320" w:right="239"/>
        <w:spacing w:after="0" w:line="261"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w:t>
      </w:r>
    </w:p>
    <w:p>
      <w:pPr>
        <w:spacing w:after="0" w:line="143"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 xml:space="preserve">In addition, we file annual, quarterly and current reports, proxy statements and other information with the SEC. Our SEC filings, including our reports, proxy and information statements and other information, are available to the public on a website maintained by the SEC located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We also maintain a website at </w:t>
      </w:r>
      <w:r>
        <w:rPr>
          <w:rFonts w:ascii="Times New Roman" w:cs="Times New Roman" w:eastAsia="Times New Roman" w:hAnsi="Times New Roman"/>
          <w:sz w:val="14"/>
          <w:szCs w:val="14"/>
          <w:i w:val="1"/>
          <w:iCs w:val="1"/>
          <w:color w:val="auto"/>
        </w:rPr>
        <w:t>https://sentibio.com/.</w:t>
      </w:r>
      <w:r>
        <w:rPr>
          <w:rFonts w:ascii="Times New Roman" w:cs="Times New Roman" w:eastAsia="Times New Roman" w:hAnsi="Times New Roman"/>
          <w:sz w:val="14"/>
          <w:szCs w:val="14"/>
          <w:color w:val="auto"/>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1"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This Registration Statement incorporates by reference important business and financial information about us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this prospectus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hereby incorporate by reference into this prospectus the following documents that we have filed with the SEC under the Exchange Act:</w:t>
      </w:r>
    </w:p>
    <w:p>
      <w:pPr>
        <w:spacing w:after="0" w:line="104" w:lineRule="exact"/>
        <w:rPr>
          <w:sz w:val="20"/>
          <w:szCs w:val="20"/>
          <w:color w:val="auto"/>
        </w:rPr>
      </w:pPr>
    </w:p>
    <w:p>
      <w:pPr>
        <w:ind w:left="2080" w:right="539" w:hanging="340"/>
        <w:spacing w:after="0" w:line="270" w:lineRule="auto"/>
        <w:tabs>
          <w:tab w:leader="none" w:pos="2080" w:val="left"/>
        </w:tabs>
        <w:numPr>
          <w:ilvl w:val="0"/>
          <w:numId w:val="1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Annual Report on Form 10-K for the fiscal year ended December 31, 2025, filed with the SEC on </w:t>
      </w:r>
      <w:hyperlink r:id="rId51">
        <w:r>
          <w:rPr>
            <w:rFonts w:ascii="Times New Roman" w:cs="Times New Roman" w:eastAsia="Times New Roman" w:hAnsi="Times New Roman"/>
            <w:sz w:val="14"/>
            <w:szCs w:val="14"/>
            <w:u w:val="single" w:color="auto"/>
            <w:color w:val="0000EE"/>
          </w:rPr>
          <w:t>March 27, 2026</w:t>
        </w:r>
      </w:hyperlink>
      <w:r>
        <w:rPr>
          <w:rFonts w:ascii="Times New Roman" w:cs="Times New Roman" w:eastAsia="Times New Roman" w:hAnsi="Times New Roman"/>
          <w:sz w:val="14"/>
          <w:szCs w:val="14"/>
          <w:color w:val="auto"/>
        </w:rPr>
        <w:t xml:space="preserve">, as amended by </w:t>
      </w:r>
      <w:hyperlink r:id="rId52">
        <w:r>
          <w:rPr>
            <w:rFonts w:ascii="Times New Roman" w:cs="Times New Roman" w:eastAsia="Times New Roman" w:hAnsi="Times New Roman"/>
            <w:sz w:val="14"/>
            <w:szCs w:val="14"/>
            <w:color w:val="auto"/>
          </w:rPr>
          <w:t xml:space="preserve">Amendment No. 1 to the Annual Report on Form 10-K for the fiscal year ended December 31, 2025, filed with the SEC on </w:t>
        </w:r>
        <w:r>
          <w:rPr>
            <w:rFonts w:ascii="Times New Roman" w:cs="Times New Roman" w:eastAsia="Times New Roman" w:hAnsi="Times New Roman"/>
            <w:sz w:val="14"/>
            <w:szCs w:val="14"/>
            <w:u w:val="single" w:color="auto"/>
            <w:color w:val="0000EE"/>
          </w:rPr>
          <w:t>April 29,</w:t>
        </w:r>
      </w:hyperlink>
      <w:r>
        <w:rPr>
          <w:rFonts w:ascii="Times New Roman" w:cs="Times New Roman" w:eastAsia="Times New Roman" w:hAnsi="Times New Roman"/>
          <w:sz w:val="14"/>
          <w:szCs w:val="14"/>
          <w:color w:val="auto"/>
        </w:rPr>
        <w:t xml:space="preserve"> </w:t>
      </w:r>
      <w:hyperlink r:id="rId52">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61" w:lineRule="exact"/>
        <w:rPr>
          <w:rFonts w:ascii="Times New Roman" w:cs="Times New Roman" w:eastAsia="Times New Roman" w:hAnsi="Times New Roman"/>
          <w:sz w:val="14"/>
          <w:szCs w:val="14"/>
          <w:color w:val="0000EE"/>
        </w:rPr>
      </w:pPr>
    </w:p>
    <w:p>
      <w:pPr>
        <w:ind w:left="2080" w:hanging="340"/>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53">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three months ended March 31, 2026, filed with the SEC on May 14, 2026;</w:t>
      </w:r>
    </w:p>
    <w:p>
      <w:pPr>
        <w:spacing w:after="0" w:line="104" w:lineRule="exact"/>
        <w:rPr>
          <w:rFonts w:ascii="Times New Roman" w:cs="Times New Roman" w:eastAsia="Times New Roman" w:hAnsi="Times New Roman"/>
          <w:sz w:val="14"/>
          <w:szCs w:val="14"/>
          <w:color w:val="auto"/>
        </w:rPr>
      </w:pPr>
    </w:p>
    <w:p>
      <w:pPr>
        <w:ind w:left="2080" w:right="239" w:hanging="340"/>
        <w:spacing w:after="0" w:line="270" w:lineRule="auto"/>
        <w:tabs>
          <w:tab w:leader="none" w:pos="2080" w:val="left"/>
        </w:tabs>
        <w:numPr>
          <w:ilvl w:val="0"/>
          <w:numId w:val="1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Current Reports on Form 8-K filed with the SEC on </w:t>
      </w:r>
      <w:hyperlink r:id="rId54">
        <w:r>
          <w:rPr>
            <w:rFonts w:ascii="Times New Roman" w:cs="Times New Roman" w:eastAsia="Times New Roman" w:hAnsi="Times New Roman"/>
            <w:sz w:val="14"/>
            <w:szCs w:val="14"/>
            <w:u w:val="single" w:color="auto"/>
            <w:color w:val="0000EE"/>
          </w:rPr>
          <w:t>March 19, 2026</w:t>
        </w:r>
      </w:hyperlink>
      <w:r>
        <w:rPr>
          <w:rFonts w:ascii="Times New Roman" w:cs="Times New Roman" w:eastAsia="Times New Roman" w:hAnsi="Times New Roman"/>
          <w:sz w:val="14"/>
          <w:szCs w:val="14"/>
          <w:color w:val="auto"/>
        </w:rPr>
        <w:t xml:space="preserve">, </w:t>
      </w:r>
      <w:hyperlink r:id="rId55">
        <w:r>
          <w:rPr>
            <w:rFonts w:ascii="Times New Roman" w:cs="Times New Roman" w:eastAsia="Times New Roman" w:hAnsi="Times New Roman"/>
            <w:sz w:val="14"/>
            <w:szCs w:val="14"/>
            <w:u w:val="single" w:color="auto"/>
            <w:color w:val="0000EE"/>
          </w:rPr>
          <w:t>April 1, 2026</w:t>
        </w:r>
      </w:hyperlink>
      <w:r>
        <w:rPr>
          <w:rFonts w:ascii="Times New Roman" w:cs="Times New Roman" w:eastAsia="Times New Roman" w:hAnsi="Times New Roman"/>
          <w:sz w:val="14"/>
          <w:szCs w:val="14"/>
          <w:color w:val="auto"/>
        </w:rPr>
        <w:t xml:space="preserve">, </w:t>
      </w:r>
      <w:hyperlink r:id="rId56">
        <w:r>
          <w:rPr>
            <w:rFonts w:ascii="Times New Roman" w:cs="Times New Roman" w:eastAsia="Times New Roman" w:hAnsi="Times New Roman"/>
            <w:sz w:val="14"/>
            <w:szCs w:val="14"/>
            <w:u w:val="single" w:color="auto"/>
            <w:color w:val="0000EE"/>
          </w:rPr>
          <w:t>April 24, 2026</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May 1, 2026</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May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9">
        <w:r>
          <w:rPr>
            <w:rFonts w:ascii="Times New Roman" w:cs="Times New Roman" w:eastAsia="Times New Roman" w:hAnsi="Times New Roman"/>
            <w:sz w:val="14"/>
            <w:szCs w:val="14"/>
            <w:u w:val="single" w:color="auto"/>
            <w:color w:val="0000EE"/>
          </w:rPr>
          <w:t>May 26,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(excluding,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with respect to all such Current Reports on Form 8-K, any information furnished pursuant to Items 2.02 or 7.01,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or corresponding information furnished under Item 9.01 or included as an exhibit); and</w:t>
      </w:r>
    </w:p>
    <w:p>
      <w:pPr>
        <w:spacing w:after="0" w:line="61" w:lineRule="exact"/>
        <w:rPr>
          <w:rFonts w:ascii="Times New Roman" w:cs="Times New Roman" w:eastAsia="Times New Roman" w:hAnsi="Times New Roman"/>
          <w:sz w:val="14"/>
          <w:szCs w:val="14"/>
          <w:color w:val="0000EE"/>
        </w:rPr>
      </w:pPr>
    </w:p>
    <w:p>
      <w:pPr>
        <w:ind w:left="2080" w:hanging="340"/>
        <w:spacing w:after="0"/>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securities contained in Exhibit 4.2 of our Current Report on </w:t>
      </w:r>
      <w:hyperlink r:id="rId56">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24, 2026.</w:t>
      </w:r>
    </w:p>
    <w:p>
      <w:pPr>
        <w:spacing w:after="0" w:line="179" w:lineRule="exact"/>
        <w:rPr>
          <w:rFonts w:ascii="Times New Roman" w:cs="Times New Roman" w:eastAsia="Times New Roman" w:hAnsi="Times New Roman"/>
          <w:sz w:val="14"/>
          <w:szCs w:val="14"/>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All documents that we file pursuant to Sections 13(a), 13(c), 14 and 15(d) of the Exchange Act (other than any such documents or portions thereof that are deemed to have been furnished and not filed in accordance with the rules of the SEC), after the date hereof and prior to the termination of an offering of securities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40" w:lineRule="exact"/>
        <w:rPr>
          <w:rFonts w:ascii="Times New Roman" w:cs="Times New Roman" w:eastAsia="Times New Roman" w:hAnsi="Times New Roman"/>
          <w:sz w:val="14"/>
          <w:szCs w:val="14"/>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w:t>
      </w:r>
    </w:p>
    <w:p>
      <w:pPr>
        <w:spacing w:after="0" w:line="51"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Senti Biosciences Holdings, Inc.</w:t>
      </w:r>
    </w:p>
    <w:p>
      <w:pPr>
        <w:spacing w:after="0" w:line="23"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 Corporate Drive, First Floor</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South San Francisco, CA 94080</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(650) 239-2030</w:t>
      </w:r>
    </w:p>
    <w:p>
      <w:pPr>
        <w:spacing w:after="0" w:line="9"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11"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191135</wp:posOffset>
            </wp:positionV>
            <wp:extent cx="54978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497830" cy="1333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231775</wp:posOffset>
            </wp:positionV>
            <wp:extent cx="54978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4978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3"/>
          <w:szCs w:val="23"/>
          <w:b w:val="1"/>
          <w:bCs w:val="1"/>
          <w:color w:val="auto"/>
        </w:rPr>
        <w:t>15,971,890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2411095</wp:posOffset>
            </wp:positionV>
            <wp:extent cx="115189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51890" cy="698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949325</wp:posOffset>
            </wp:positionV>
            <wp:extent cx="1852930" cy="478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852930" cy="47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187960</wp:posOffset>
            </wp:positionV>
            <wp:extent cx="115189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151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20" w:right="259"/>
        <w:spacing w:after="0" w:line="262"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321945</wp:posOffset>
            </wp:positionV>
            <wp:extent cx="549783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497830" cy="6985"/>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368935</wp:posOffset>
            </wp:positionV>
            <wp:extent cx="54978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497830" cy="1333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0"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6" w:lineRule="exact"/>
        <w:rPr>
          <w:sz w:val="20"/>
          <w:szCs w:val="20"/>
          <w:color w:val="auto"/>
        </w:rPr>
      </w:pPr>
    </w:p>
    <w:p>
      <w:pPr>
        <w:ind w:left="1320" w:right="279"/>
        <w:spacing w:after="0" w:line="270" w:lineRule="auto"/>
        <w:rPr>
          <w:sz w:val="20"/>
          <w:szCs w:val="20"/>
          <w:color w:val="auto"/>
        </w:rPr>
      </w:pPr>
      <w:r>
        <w:rPr>
          <w:rFonts w:ascii="Times New Roman" w:cs="Times New Roman" w:eastAsia="Times New Roman" w:hAnsi="Times New Roman"/>
          <w:sz w:val="14"/>
          <w:szCs w:val="14"/>
          <w:color w:val="auto"/>
        </w:rPr>
        <w:t>The following table sets forth the estimated expenses to be borne by the registrant in connection with the securities being registered hereby. In addition, we may incur additional expenses in the future in connection with the offering of our securities pursuant to this prospectus. If required, any such additional expenses will be disclosed in a prospectus supplement.</w:t>
      </w:r>
    </w:p>
    <w:p>
      <w:pPr>
        <w:spacing w:after="0" w:line="143" w:lineRule="exact"/>
        <w:rPr>
          <w:sz w:val="20"/>
          <w:szCs w:val="20"/>
          <w:color w:val="auto"/>
        </w:rPr>
      </w:pPr>
    </w:p>
    <w:tbl>
      <w:tblPr>
        <w:tblLayout w:type="fixed"/>
        <w:tblInd w:w="2700" w:type="dxa"/>
        <w:tblCellMar>
          <w:top w:w="0" w:type="dxa"/>
          <w:left w:w="0" w:type="dxa"/>
          <w:bottom w:w="0" w:type="dxa"/>
          <w:right w:w="0" w:type="dxa"/>
        </w:tblCellMar>
      </w:tblPr>
      <w:tr>
        <w:trPr>
          <w:trHeight w:val="126"/>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25"/>
        </w:trPr>
        <w:tc>
          <w:tcPr>
            <w:tcW w:w="40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0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2,156.31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printing and miscellaneous expenses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87,156.31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20" w:right="199"/>
        <w:spacing w:after="0" w:line="270" w:lineRule="auto"/>
        <w:rPr>
          <w:sz w:val="20"/>
          <w:szCs w:val="20"/>
          <w:color w:val="auto"/>
        </w:rPr>
      </w:pPr>
      <w:r>
        <w:rPr>
          <w:rFonts w:ascii="Times New Roman" w:cs="Times New Roman" w:eastAsia="Times New Roman" w:hAnsi="Times New Roman"/>
          <w:sz w:val="14"/>
          <w:szCs w:val="14"/>
          <w:color w:val="auto"/>
        </w:rPr>
        <w:t>We will pay the expenses, other than underwriting discounts and commissions and certain expenses incurred by the Selling Securityholder in disposing of the securities, associated with the sale of securities pursuant to this prospectus. The Selling Securityholder will bear all underwriting commissions and discounts, if any, attributable to their sale of the securities.</w:t>
      </w:r>
    </w:p>
    <w:p>
      <w:pPr>
        <w:spacing w:after="0" w:line="250"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6" w:lineRule="exact"/>
        <w:rPr>
          <w:sz w:val="20"/>
          <w:szCs w:val="20"/>
          <w:color w:val="auto"/>
        </w:rPr>
      </w:pPr>
    </w:p>
    <w:p>
      <w:pPr>
        <w:jc w:val="both"/>
        <w:ind w:left="1320" w:right="319"/>
        <w:spacing w:after="0" w:line="270" w:lineRule="auto"/>
        <w:rPr>
          <w:sz w:val="20"/>
          <w:szCs w:val="20"/>
          <w:color w:val="auto"/>
        </w:rPr>
      </w:pPr>
      <w:r>
        <w:rPr>
          <w:rFonts w:ascii="Times New Roman" w:cs="Times New Roman" w:eastAsia="Times New Roman" w:hAnsi="Times New Roman"/>
          <w:sz w:val="14"/>
          <w:szCs w:val="14"/>
          <w:color w:val="auto"/>
        </w:rPr>
        <w:t>Our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Section 145. Indemnification of officers, directors, employees and agents; insurance.</w:t>
      </w:r>
    </w:p>
    <w:p>
      <w:pPr>
        <w:spacing w:after="0" w:line="104" w:lineRule="exact"/>
        <w:rPr>
          <w:sz w:val="20"/>
          <w:szCs w:val="20"/>
          <w:color w:val="auto"/>
        </w:rPr>
      </w:pPr>
    </w:p>
    <w:p>
      <w:pPr>
        <w:ind w:left="2080" w:right="219" w:hanging="425"/>
        <w:spacing w:after="0" w:line="256" w:lineRule="auto"/>
        <w:tabs>
          <w:tab w:leader="none" w:pos="2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43" w:lineRule="exact"/>
        <w:rPr>
          <w:rFonts w:ascii="Times New Roman" w:cs="Times New Roman" w:eastAsia="Times New Roman" w:hAnsi="Times New Roman"/>
          <w:sz w:val="14"/>
          <w:szCs w:val="14"/>
          <w:color w:val="auto"/>
        </w:rPr>
      </w:pPr>
    </w:p>
    <w:p>
      <w:pPr>
        <w:ind w:left="2080" w:right="199" w:hanging="425"/>
        <w:spacing w:after="0" w:line="261" w:lineRule="auto"/>
        <w:tabs>
          <w:tab w:leader="none" w:pos="2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199"/>
        <w:spacing w:after="0" w:line="259" w:lineRule="auto"/>
        <w:rPr>
          <w:sz w:val="20"/>
          <w:szCs w:val="20"/>
          <w:color w:val="auto"/>
        </w:rPr>
      </w:pPr>
      <w:r>
        <w:rPr>
          <w:rFonts w:ascii="Times New Roman" w:cs="Times New Roman" w:eastAsia="Times New Roman" w:hAnsi="Times New Roman"/>
          <w:sz w:val="14"/>
          <w:szCs w:val="14"/>
          <w:color w:val="auto"/>
        </w:rPr>
        <w:t>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72" w:lineRule="exact"/>
        <w:rPr>
          <w:sz w:val="20"/>
          <w:szCs w:val="20"/>
          <w:color w:val="auto"/>
        </w:rPr>
      </w:pPr>
    </w:p>
    <w:p>
      <w:pPr>
        <w:ind w:left="2080" w:right="339" w:hanging="425"/>
        <w:spacing w:after="0" w:line="264"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66" w:lineRule="exact"/>
        <w:rPr>
          <w:rFonts w:ascii="Times New Roman" w:cs="Times New Roman" w:eastAsia="Times New Roman" w:hAnsi="Times New Roman"/>
          <w:sz w:val="14"/>
          <w:szCs w:val="14"/>
          <w:color w:val="auto"/>
        </w:rPr>
      </w:pPr>
    </w:p>
    <w:p>
      <w:pPr>
        <w:ind w:left="2080" w:right="239" w:hanging="425"/>
        <w:spacing w:after="0" w:line="258"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72" w:lineRule="exact"/>
        <w:rPr>
          <w:rFonts w:ascii="Times New Roman" w:cs="Times New Roman" w:eastAsia="Times New Roman" w:hAnsi="Times New Roman"/>
          <w:sz w:val="14"/>
          <w:szCs w:val="14"/>
          <w:color w:val="auto"/>
        </w:rPr>
      </w:pPr>
    </w:p>
    <w:p>
      <w:pPr>
        <w:ind w:left="2080" w:right="199" w:hanging="425"/>
        <w:spacing w:after="0" w:line="259"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71" w:lineRule="exact"/>
        <w:rPr>
          <w:rFonts w:ascii="Times New Roman" w:cs="Times New Roman" w:eastAsia="Times New Roman" w:hAnsi="Times New Roman"/>
          <w:sz w:val="14"/>
          <w:szCs w:val="14"/>
          <w:color w:val="auto"/>
        </w:rPr>
      </w:pPr>
    </w:p>
    <w:p>
      <w:pPr>
        <w:ind w:left="2080" w:right="199" w:hanging="425"/>
        <w:spacing w:after="0" w:line="257"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4" w:lineRule="exact"/>
        <w:rPr>
          <w:rFonts w:ascii="Times New Roman" w:cs="Times New Roman" w:eastAsia="Times New Roman" w:hAnsi="Times New Roman"/>
          <w:sz w:val="14"/>
          <w:szCs w:val="14"/>
          <w:color w:val="auto"/>
        </w:rPr>
      </w:pPr>
    </w:p>
    <w:p>
      <w:pPr>
        <w:ind w:left="2080" w:right="299" w:hanging="425"/>
        <w:spacing w:after="0" w:line="261"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68" w:lineRule="exact"/>
        <w:rPr>
          <w:rFonts w:ascii="Times New Roman" w:cs="Times New Roman" w:eastAsia="Times New Roman" w:hAnsi="Times New Roman"/>
          <w:sz w:val="14"/>
          <w:szCs w:val="14"/>
          <w:color w:val="auto"/>
        </w:rPr>
      </w:pPr>
    </w:p>
    <w:p>
      <w:pPr>
        <w:ind w:left="2080" w:right="759" w:hanging="425"/>
        <w:spacing w:after="0" w:line="287"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“the corporation” shall include, in addition to the resulting corporation, any constituent corporation (including any constituent of a constituent) absorbed in a</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080" w:right="319"/>
        <w:spacing w:after="0" w:line="261" w:lineRule="auto"/>
        <w:rPr>
          <w:sz w:val="20"/>
          <w:szCs w:val="20"/>
          <w:color w:val="auto"/>
        </w:rPr>
      </w:pPr>
      <w:r>
        <w:rPr>
          <w:rFonts w:ascii="Times New Roman" w:cs="Times New Roman" w:eastAsia="Times New Roman" w:hAnsi="Times New Roman"/>
          <w:sz w:val="14"/>
          <w:szCs w:val="14"/>
          <w:color w:val="auto"/>
        </w:rPr>
        <w:t>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69" w:lineRule="exact"/>
        <w:rPr>
          <w:sz w:val="20"/>
          <w:szCs w:val="20"/>
          <w:color w:val="auto"/>
        </w:rPr>
      </w:pPr>
    </w:p>
    <w:p>
      <w:pPr>
        <w:ind w:left="2080" w:right="239" w:hanging="425"/>
        <w:spacing w:after="0" w:line="259" w:lineRule="auto"/>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71" w:lineRule="exact"/>
        <w:rPr>
          <w:rFonts w:ascii="Times New Roman" w:cs="Times New Roman" w:eastAsia="Times New Roman" w:hAnsi="Times New Roman"/>
          <w:sz w:val="14"/>
          <w:szCs w:val="14"/>
          <w:color w:val="auto"/>
        </w:rPr>
      </w:pPr>
    </w:p>
    <w:p>
      <w:pPr>
        <w:ind w:left="2080" w:right="279" w:hanging="425"/>
        <w:spacing w:after="0" w:line="270" w:lineRule="auto"/>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61" w:lineRule="exact"/>
        <w:rPr>
          <w:rFonts w:ascii="Times New Roman" w:cs="Times New Roman" w:eastAsia="Times New Roman" w:hAnsi="Times New Roman"/>
          <w:sz w:val="14"/>
          <w:szCs w:val="14"/>
          <w:color w:val="auto"/>
        </w:rPr>
      </w:pPr>
    </w:p>
    <w:p>
      <w:pPr>
        <w:ind w:left="2080" w:right="399" w:hanging="425"/>
        <w:spacing w:after="0" w:line="270" w:lineRule="auto"/>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6" w:lineRule="exact"/>
        <w:rPr>
          <w:sz w:val="20"/>
          <w:szCs w:val="20"/>
          <w:color w:val="auto"/>
        </w:rPr>
      </w:pPr>
    </w:p>
    <w:p>
      <w:pPr>
        <w:ind w:left="1320" w:right="279"/>
        <w:spacing w:after="0" w:line="25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47"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In accordance with Section 102(b)(7) of the DGCL, our Certificate of Incorporation provides that no director or officer shall be personally liable to us or any of our stockholders for monetary damages resulting from breaches of their fiduciary duty as directors or officers, except to the extent such limitation on or exemption from liability is not permitted under the DGCL. The effect of this provision of our Certificate of Incorporation is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or officer’s duty of care.</w:t>
      </w:r>
    </w:p>
    <w:p>
      <w:pPr>
        <w:spacing w:after="0" w:line="147"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259"/>
        <w:spacing w:after="0" w:line="270" w:lineRule="auto"/>
        <w:rPr>
          <w:sz w:val="20"/>
          <w:szCs w:val="20"/>
          <w:color w:val="auto"/>
        </w:rPr>
      </w:pPr>
      <w:r>
        <w:rPr>
          <w:rFonts w:ascii="Times New Roman" w:cs="Times New Roman" w:eastAsia="Times New Roman" w:hAnsi="Times New Roman"/>
          <w:sz w:val="14"/>
          <w:szCs w:val="14"/>
          <w:color w:val="auto"/>
        </w:rPr>
        <w:t>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6" w:lineRule="exact"/>
        <w:rPr>
          <w:sz w:val="20"/>
          <w:szCs w:val="20"/>
          <w:color w:val="auto"/>
        </w:rPr>
      </w:pPr>
    </w:p>
    <w:p>
      <w:pPr>
        <w:ind w:left="1320" w:right="319"/>
        <w:spacing w:after="0" w:line="259" w:lineRule="auto"/>
        <w:rPr>
          <w:sz w:val="20"/>
          <w:szCs w:val="20"/>
          <w:color w:val="auto"/>
        </w:rPr>
      </w:pPr>
      <w:r>
        <w:rPr>
          <w:rFonts w:ascii="Times New Roman" w:cs="Times New Roman" w:eastAsia="Times New Roman" w:hAnsi="Times New Roman"/>
          <w:sz w:val="14"/>
          <w:szCs w:val="14"/>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46" w:lineRule="exact"/>
        <w:rPr>
          <w:sz w:val="20"/>
          <w:szCs w:val="20"/>
          <w:color w:val="auto"/>
        </w:rPr>
      </w:pPr>
    </w:p>
    <w:p>
      <w:pPr>
        <w:ind w:left="1320" w:right="199"/>
        <w:spacing w:after="0" w:line="270" w:lineRule="auto"/>
        <w:rPr>
          <w:sz w:val="20"/>
          <w:szCs w:val="20"/>
          <w:color w:val="auto"/>
        </w:rPr>
      </w:pPr>
      <w:r>
        <w:rPr>
          <w:rFonts w:ascii="Times New Roman" w:cs="Times New Roman" w:eastAsia="Times New Roman" w:hAnsi="Times New Roman"/>
          <w:sz w:val="14"/>
          <w:szCs w:val="14"/>
          <w:color w:val="auto"/>
        </w:rPr>
        <w:t>Notwithstanding the foregoing, a person eligible for indemnification pursuant to our Certificate of Incorporation will be indemnified by us in connection with a proceeding initiated by such person only if such proceeding was authorized by our Board, except for proceedings to enforce rights to indemnification.</w:t>
      </w:r>
    </w:p>
    <w:p>
      <w:pPr>
        <w:spacing w:after="0" w:line="136"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The right to indemnification which is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43" w:lineRule="exact"/>
        <w:rPr>
          <w:sz w:val="20"/>
          <w:szCs w:val="20"/>
          <w:color w:val="auto"/>
        </w:rPr>
      </w:pPr>
    </w:p>
    <w:p>
      <w:pPr>
        <w:ind w:left="1320" w:right="219"/>
        <w:spacing w:after="0" w:line="270" w:lineRule="auto"/>
        <w:rPr>
          <w:sz w:val="20"/>
          <w:szCs w:val="20"/>
          <w:color w:val="auto"/>
        </w:rPr>
      </w:pPr>
      <w:r>
        <w:rPr>
          <w:rFonts w:ascii="Times New Roman" w:cs="Times New Roman" w:eastAsia="Times New Roman" w:hAnsi="Times New Roman"/>
          <w:sz w:val="14"/>
          <w:szCs w:val="14"/>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36"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47" w:lineRule="exact"/>
        <w:rPr>
          <w:sz w:val="20"/>
          <w:szCs w:val="20"/>
          <w:color w:val="auto"/>
        </w:rPr>
      </w:pPr>
    </w:p>
    <w:p>
      <w:pPr>
        <w:ind w:left="1320" w:right="399"/>
        <w:spacing w:after="0" w:line="261" w:lineRule="auto"/>
        <w:rPr>
          <w:sz w:val="20"/>
          <w:szCs w:val="20"/>
          <w:color w:val="auto"/>
        </w:rPr>
      </w:pPr>
      <w:r>
        <w:rPr>
          <w:rFonts w:ascii="Times New Roman" w:cs="Times New Roman" w:eastAsia="Times New Roman" w:hAnsi="Times New Roman"/>
          <w:sz w:val="14"/>
          <w:szCs w:val="14"/>
          <w:color w:val="auto"/>
        </w:rPr>
        <w:t>Our Bylaws include the provisions relating to advancement of expenses and indemnification rights consistent with those which are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43" w:lineRule="exact"/>
        <w:rPr>
          <w:sz w:val="20"/>
          <w:szCs w:val="20"/>
          <w:color w:val="auto"/>
        </w:rPr>
      </w:pPr>
    </w:p>
    <w:p>
      <w:pPr>
        <w:jc w:val="both"/>
        <w:ind w:left="1320" w:right="219"/>
        <w:spacing w:after="0" w:line="270" w:lineRule="auto"/>
        <w:rPr>
          <w:sz w:val="20"/>
          <w:szCs w:val="20"/>
          <w:color w:val="auto"/>
        </w:rPr>
      </w:pPr>
      <w:r>
        <w:rPr>
          <w:rFonts w:ascii="Times New Roman" w:cs="Times New Roman" w:eastAsia="Times New Roman" w:hAnsi="Times New Roman"/>
          <w:sz w:val="14"/>
          <w:szCs w:val="14"/>
          <w:color w:val="auto"/>
        </w:rPr>
        <w:t>Any repeal or amendment of provisions of our Bylaws affecting indemnification rights, whether by our Board, stockholders or by changes in applicable law, or the adoption of any other provisions inconsistent therewith, will (unless otherwise required by law) be prospective only, except to the extent such amendment or change in law</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1320" w:right="339"/>
        <w:spacing w:after="0" w:line="287" w:lineRule="auto"/>
        <w:rPr>
          <w:sz w:val="20"/>
          <w:szCs w:val="20"/>
          <w:color w:val="auto"/>
        </w:rPr>
      </w:pPr>
      <w:r>
        <w:rPr>
          <w:rFonts w:ascii="Times New Roman" w:cs="Times New Roman" w:eastAsia="Times New Roman" w:hAnsi="Times New Roman"/>
          <w:sz w:val="14"/>
          <w:szCs w:val="14"/>
          <w:color w:val="auto"/>
        </w:rPr>
        <w:t>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4"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0" w:lineRule="exact"/>
        <w:rPr>
          <w:sz w:val="20"/>
          <w:szCs w:val="20"/>
          <w:color w:val="auto"/>
        </w:rPr>
      </w:pPr>
    </w:p>
    <w:p>
      <w:pPr>
        <w:ind w:left="1320" w:right="339"/>
        <w:spacing w:after="0" w:line="287" w:lineRule="auto"/>
        <w:rPr>
          <w:sz w:val="20"/>
          <w:szCs w:val="20"/>
          <w:color w:val="auto"/>
        </w:rPr>
      </w:pPr>
      <w:r>
        <w:rPr>
          <w:rFonts w:ascii="Times New Roman" w:cs="Times New Roman" w:eastAsia="Times New Roman" w:hAnsi="Times New Roman"/>
          <w:sz w:val="14"/>
          <w:szCs w:val="14"/>
          <w:color w:val="auto"/>
        </w:rPr>
        <w:t>These limitations of liability do not alter director liability under the federal securities laws and do not affect the availability of equitable remedies such as an injunction or rescission.</w:t>
      </w:r>
    </w:p>
    <w:p>
      <w:pPr>
        <w:spacing w:after="0" w:line="124" w:lineRule="exact"/>
        <w:rPr>
          <w:sz w:val="20"/>
          <w:szCs w:val="20"/>
          <w:color w:val="auto"/>
        </w:rPr>
      </w:pPr>
    </w:p>
    <w:p>
      <w:pPr>
        <w:ind w:left="1320" w:right="199"/>
        <w:spacing w:after="0" w:line="287" w:lineRule="auto"/>
        <w:rPr>
          <w:sz w:val="20"/>
          <w:szCs w:val="20"/>
          <w:color w:val="auto"/>
        </w:rPr>
      </w:pPr>
      <w:r>
        <w:rPr>
          <w:rFonts w:ascii="Times New Roman" w:cs="Times New Roman" w:eastAsia="Times New Roman" w:hAnsi="Times New Roman"/>
          <w:sz w:val="14"/>
          <w:szCs w:val="14"/>
          <w:color w:val="auto"/>
        </w:rPr>
        <w:t>Pursuant to the Business Combination Agreement, we agreed to continue to indemnify DYNS’ directors and officers and have agreed to the continuation of director and officer liability insurance covering such directors and officers.</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4440" w:type="dxa"/>
            <w:vAlign w:val="bottom"/>
            <w:gridSpan w:val="18"/>
          </w:tcPr>
          <w:p>
            <w:pPr>
              <w:ind w:left="140"/>
              <w:spacing w:after="0"/>
              <w:rPr>
                <w:sz w:val="20"/>
                <w:szCs w:val="20"/>
                <w:color w:val="auto"/>
              </w:rPr>
            </w:pPr>
            <w:r>
              <w:rPr>
                <w:rFonts w:ascii="Times New Roman" w:cs="Times New Roman" w:eastAsia="Times New Roman" w:hAnsi="Times New Roman"/>
                <w:sz w:val="14"/>
                <w:szCs w:val="14"/>
                <w:b w:val="1"/>
                <w:bCs w:val="1"/>
                <w:color w:val="auto"/>
              </w:rPr>
              <w:t>Exhibits and Financial Statements Schedules</w:t>
            </w: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160" w:type="dxa"/>
            <w:vAlign w:val="bottom"/>
            <w:gridSpan w:val="19"/>
          </w:tcPr>
          <w:p>
            <w:pPr>
              <w:ind w:left="340"/>
              <w:spacing w:after="0"/>
              <w:rPr>
                <w:sz w:val="20"/>
                <w:szCs w:val="20"/>
                <w:color w:val="auto"/>
              </w:rPr>
            </w:pPr>
            <w:r>
              <w:rPr>
                <w:rFonts w:ascii="Times New Roman" w:cs="Times New Roman" w:eastAsia="Times New Roman" w:hAnsi="Times New Roman"/>
                <w:sz w:val="14"/>
                <w:szCs w:val="14"/>
                <w:b w:val="1"/>
                <w:bCs w:val="1"/>
                <w:i w:val="1"/>
                <w:iCs w:val="1"/>
                <w:color w:val="auto"/>
              </w:rPr>
              <w:t>(a) Exhibits.</w:t>
            </w:r>
          </w:p>
        </w:tc>
        <w:tc>
          <w:tcPr>
            <w:tcW w:w="1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60" w:type="dxa"/>
            <w:vAlign w:val="bottom"/>
            <w:gridSpan w:val="13"/>
          </w:tcPr>
          <w:p>
            <w:pPr>
              <w:ind w:left="1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Schedule/Form</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42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Business Combination Agreement, dated as of December 19, 2021, by and</w:t>
              </w:r>
            </w:hyperlink>
          </w:p>
        </w:tc>
        <w:tc>
          <w:tcPr>
            <w:tcW w:w="160" w:type="dxa"/>
            <w:vAlign w:val="bottom"/>
            <w:gridSpan w:val="4"/>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S-4/A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333-262707</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10, 2022</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380" w:type="dxa"/>
            <w:vAlign w:val="bottom"/>
            <w:tcBorders>
              <w:bottom w:val="single" w:sz="8" w:color="0000EE"/>
            </w:tcBorders>
            <w:gridSpan w:val="16"/>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among Dynamics Special Purpose Corp., Explore Merger Sub, Inc. and Senti</w:t>
              </w:r>
            </w:hyperlink>
          </w:p>
        </w:tc>
        <w:tc>
          <w:tcPr>
            <w:tcW w:w="6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980" w:type="dxa"/>
            <w:vAlign w:val="bottom"/>
            <w:tcBorders>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Biosciences, Inc.</w:t>
              </w:r>
            </w:hyperlink>
          </w:p>
        </w:tc>
        <w:tc>
          <w:tcPr>
            <w:tcW w:w="3460" w:type="dxa"/>
            <w:vAlign w:val="bottom"/>
            <w:gridSpan w:val="15"/>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2.2^</w:t>
            </w:r>
          </w:p>
        </w:tc>
        <w:tc>
          <w:tcPr>
            <w:tcW w:w="44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Amendment No. 1 to Business Combination Agreement, dated as of February</w:t>
              </w:r>
            </w:hyperlink>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S-4/A</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333-262707</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10, 2022</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260" w:type="dxa"/>
            <w:vAlign w:val="bottom"/>
            <w:tcBorders>
              <w:bottom w:val="single" w:sz="8" w:color="0000EE"/>
            </w:tcBorders>
            <w:gridSpan w:val="13"/>
          </w:tcPr>
          <w:p>
            <w:pPr>
              <w:spacing w:after="0" w:line="150"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12, 2022, by and among Dynamics Special Purpose Corp., Explore Merger</w:t>
              </w:r>
            </w:hyperlink>
          </w:p>
        </w:tc>
        <w:tc>
          <w:tcPr>
            <w:tcW w:w="180" w:type="dxa"/>
            <w:vAlign w:val="bottom"/>
            <w:gridSpan w:val="5"/>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2080" w:type="dxa"/>
            <w:vAlign w:val="bottom"/>
            <w:tcBorders>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Sub, Inc. and Senti Biosciences, Inc.</w:t>
              </w:r>
            </w:hyperlink>
          </w:p>
        </w:tc>
        <w:tc>
          <w:tcPr>
            <w:tcW w:w="2360" w:type="dxa"/>
            <w:vAlign w:val="bottom"/>
            <w:gridSpan w:val="12"/>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4440" w:type="dxa"/>
            <w:vAlign w:val="bottom"/>
            <w:gridSpan w:val="18"/>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Amendment No. 2 to Business Combination Agreement, dated as of May 19,</w:t>
              </w:r>
            </w:hyperlink>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24, 2022</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400" w:type="dxa"/>
            <w:vAlign w:val="bottom"/>
            <w:tcBorders>
              <w:top w:val="single" w:sz="8" w:color="0000EE"/>
            </w:tcBorders>
            <w:gridSpan w:val="17"/>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2022, by and among Dynamics Special Purpose Corp., Explore Merger Sub,</w:t>
              </w:r>
            </w:hyperlink>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320" w:type="dxa"/>
            <w:vAlign w:val="bottom"/>
            <w:tcBorders>
              <w:top w:val="single" w:sz="8" w:color="0000EE"/>
            </w:tcBorders>
            <w:gridSpan w:val="15"/>
          </w:tcPr>
          <w:p>
            <w:pPr>
              <w:spacing w:after="0" w:line="150"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Inc. and Senti Biosciences, Inc.</w:t>
              </w:r>
            </w:hyperlink>
          </w:p>
        </w:tc>
        <w:tc>
          <w:tcPr>
            <w:tcW w:w="12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424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Agreement and Plan of Merger, dated April 24, 2026, by and among Senti</w:t>
              </w:r>
            </w:hyperlink>
          </w:p>
        </w:tc>
        <w:tc>
          <w:tcPr>
            <w:tcW w:w="200" w:type="dxa"/>
            <w:vAlign w:val="bottom"/>
            <w:gridSpan w:val="6"/>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16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Biosciences, Inc., Senti Biosciences Holdings, Inc. and Senti Biosciences</w:t>
              </w:r>
            </w:hyperlink>
          </w:p>
        </w:tc>
        <w:tc>
          <w:tcPr>
            <w:tcW w:w="280" w:type="dxa"/>
            <w:vAlign w:val="bottom"/>
            <w:gridSpan w:val="7"/>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440" w:type="dxa"/>
            <w:vAlign w:val="bottom"/>
            <w:gridSpan w:val="18"/>
          </w:tcPr>
          <w:p>
            <w:pPr>
              <w:spacing w:after="0" w:line="150"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Merger Sub, Inc.</w:t>
              </w:r>
            </w:hyperlink>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410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Amended and Restated Certificate of Incorporation of Senti Biosciences</w:t>
              </w:r>
            </w:hyperlink>
          </w:p>
        </w:tc>
        <w:tc>
          <w:tcPr>
            <w:tcW w:w="340" w:type="dxa"/>
            <w:vAlign w:val="bottom"/>
            <w:gridSpan w:val="8"/>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82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Holdings, Inc.</w:t>
              </w:r>
            </w:hyperlink>
          </w:p>
        </w:tc>
        <w:tc>
          <w:tcPr>
            <w:tcW w:w="3620" w:type="dxa"/>
            <w:vAlign w:val="bottom"/>
            <w:gridSpan w:val="17"/>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4440" w:type="dxa"/>
            <w:vAlign w:val="bottom"/>
            <w:gridSpan w:val="18"/>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Amended and Restated Bylaws of Senti Biosciences Holdings, Inc.</w:t>
              </w:r>
            </w:hyperlink>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3800" w:type="dxa"/>
            <w:vAlign w:val="bottom"/>
            <w:tcBorders>
              <w:top w:val="single" w:sz="8" w:color="0000EE"/>
            </w:tcBorders>
            <w:gridSpan w:val="9"/>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Certificate of Merger</w:t>
              </w:r>
            </w:hyperlink>
          </w:p>
        </w:tc>
        <w:tc>
          <w:tcPr>
            <w:tcW w:w="640" w:type="dxa"/>
            <w:vAlign w:val="bottom"/>
            <w:gridSpan w:val="9"/>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3.3</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326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Amended and Restated Bylaws of Senti Biosciences, Inc.</w:t>
              </w:r>
            </w:hyperlink>
          </w:p>
        </w:tc>
        <w:tc>
          <w:tcPr>
            <w:tcW w:w="1180" w:type="dxa"/>
            <w:vAlign w:val="bottom"/>
            <w:gridSpan w:val="10"/>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June 15, 2022</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4440" w:type="dxa"/>
            <w:vAlign w:val="bottom"/>
            <w:gridSpan w:val="18"/>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Specimen Common Stock Certificate</w:t>
              </w:r>
            </w:hyperlink>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8-K</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298"/>
        </w:trPr>
        <w:tc>
          <w:tcPr>
            <w:tcW w:w="7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gridSpan w:val="10"/>
          </w:tcPr>
          <w:p>
            <w:pPr>
              <w:ind w:left="240"/>
              <w:spacing w:after="0"/>
              <w:rPr>
                <w:sz w:val="20"/>
                <w:szCs w:val="20"/>
                <w:color w:val="auto"/>
              </w:rPr>
            </w:pPr>
            <w:r>
              <w:rPr>
                <w:rFonts w:ascii="Times New Roman" w:cs="Times New Roman" w:eastAsia="Times New Roman" w:hAnsi="Times New Roman"/>
                <w:sz w:val="14"/>
                <w:szCs w:val="14"/>
                <w:color w:val="auto"/>
              </w:rPr>
              <w:t>II-5</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12"/>
          </w:tcPr>
          <w:p>
            <w:pPr>
              <w:ind w:left="2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Schedule/Form</w:t>
            </w: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370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Form of Senior Secured Convertible Note of Senti Holdings, Inc.</w:t>
              </w:r>
            </w:hyperlink>
          </w:p>
        </w:tc>
        <w:tc>
          <w:tcPr>
            <w:tcW w:w="1000" w:type="dxa"/>
            <w:vAlign w:val="bottom"/>
            <w:gridSpan w:val="10"/>
          </w:tcPr>
          <w:p>
            <w:pPr>
              <w:spacing w:after="0"/>
              <w:rPr>
                <w:sz w:val="18"/>
                <w:szCs w:val="18"/>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4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Opinion of Gunderson Dettmer Stough Villeneuve Franklin &amp; Hachigian, LLP</w:t>
            </w:r>
          </w:p>
        </w:tc>
        <w:tc>
          <w:tcPr>
            <w:tcW w:w="240" w:type="dxa"/>
            <w:vAlign w:val="bottom"/>
            <w:gridSpan w:val="4"/>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700" w:type="dxa"/>
            <w:vAlign w:val="bottom"/>
            <w:gridSpan w:val="17"/>
          </w:tcPr>
          <w:p>
            <w:pPr>
              <w:spacing w:after="0"/>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Securities Purchase Agreement, dated April 27, 2026, by and among Senti</w:t>
              </w:r>
            </w:hyperlink>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0" w:type="dxa"/>
            <w:vAlign w:val="bottom"/>
          </w:tcPr>
          <w:p>
            <w:pPr>
              <w:spacing w:after="0"/>
              <w:rPr>
                <w:sz w:val="13"/>
                <w:szCs w:val="13"/>
                <w:color w:val="auto"/>
              </w:rPr>
            </w:pPr>
          </w:p>
        </w:tc>
        <w:tc>
          <w:tcPr>
            <w:tcW w:w="4700" w:type="dxa"/>
            <w:vAlign w:val="bottom"/>
            <w:gridSpan w:val="17"/>
          </w:tcPr>
          <w:p>
            <w:pPr>
              <w:spacing w:after="0" w:line="150"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Biosciences Holdings, Inc., Senti Holdings, Inc., Senti Biosciences, Inc. and the</w:t>
              </w:r>
            </w:hyperlink>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1400" w:type="dxa"/>
            <w:vAlign w:val="bottom"/>
            <w:tcBorders>
              <w:top w:val="single" w:sz="8" w:color="0000EE"/>
              <w:bottom w:val="single" w:sz="8" w:color="0000EE"/>
            </w:tcBorders>
            <w:gridSpan w:val="3"/>
          </w:tcPr>
          <w:p>
            <w:pPr>
              <w:spacing w:after="0" w:line="150"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purchaser named therein</w:t>
              </w:r>
            </w:hyperlink>
          </w:p>
        </w:tc>
        <w:tc>
          <w:tcPr>
            <w:tcW w:w="3120" w:type="dxa"/>
            <w:vAlign w:val="bottom"/>
            <w:tcBorders>
              <w:top w:val="single" w:sz="8" w:color="0000EE"/>
            </w:tcBorders>
            <w:gridSpan w:val="12"/>
          </w:tcPr>
          <w:p>
            <w:pPr>
              <w:spacing w:after="0"/>
              <w:rPr>
                <w:sz w:val="13"/>
                <w:szCs w:val="13"/>
                <w:color w:val="auto"/>
              </w:rPr>
            </w:pPr>
          </w:p>
        </w:tc>
        <w:tc>
          <w:tcPr>
            <w:tcW w:w="1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8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9"/>
              </w:rPr>
            </w:pPr>
            <w:hyperlink r:id="rId85">
              <w:r>
                <w:rPr>
                  <w:rFonts w:ascii="Times New Roman" w:cs="Times New Roman" w:eastAsia="Times New Roman" w:hAnsi="Times New Roman"/>
                  <w:sz w:val="14"/>
                  <w:szCs w:val="14"/>
                  <w:color w:val="0000EE"/>
                  <w:w w:val="99"/>
                </w:rPr>
                <w:t>Form of Guarantee</w:t>
              </w:r>
            </w:hyperlink>
          </w:p>
        </w:tc>
        <w:tc>
          <w:tcPr>
            <w:tcW w:w="3620" w:type="dxa"/>
            <w:vAlign w:val="bottom"/>
            <w:gridSpan w:val="15"/>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10.3</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414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Form of Registration Rights Agreement by and among Senti Biosciences</w:t>
              </w:r>
            </w:hyperlink>
          </w:p>
        </w:tc>
        <w:tc>
          <w:tcPr>
            <w:tcW w:w="560" w:type="dxa"/>
            <w:vAlign w:val="bottom"/>
            <w:gridSpan w:val="8"/>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10.4</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4300" w:type="dxa"/>
            <w:vAlign w:val="bottom"/>
            <w:tcBorders>
              <w:bottom w:val="single" w:sz="8" w:color="0000EE"/>
            </w:tcBorders>
            <w:gridSpan w:val="12"/>
          </w:tcPr>
          <w:p>
            <w:pPr>
              <w:spacing w:after="0" w:line="150"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Holdings, Inc., Senti Biosciences, Inc. and any investor to be named therein</w:t>
              </w:r>
            </w:hyperlink>
          </w:p>
        </w:tc>
        <w:tc>
          <w:tcPr>
            <w:tcW w:w="400" w:type="dxa"/>
            <w:vAlign w:val="bottom"/>
            <w:gridSpan w:val="5"/>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700" w:type="dxa"/>
            <w:vAlign w:val="bottom"/>
            <w:gridSpan w:val="17"/>
          </w:tcPr>
          <w:p>
            <w:pPr>
              <w:spacing w:after="0"/>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Form of Voting Agreement by and among Senti Biosciences Holdings, Inc.,</w:t>
              </w:r>
            </w:hyperlink>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10.5</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May 1, 2026</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Senti Biosciences, Inc. and the stockholders to be party thereto</w:t>
              </w:r>
            </w:hyperlink>
          </w:p>
        </w:tc>
        <w:tc>
          <w:tcPr>
            <w:tcW w:w="720" w:type="dxa"/>
            <w:vAlign w:val="bottom"/>
            <w:tcBorders>
              <w:top w:val="single" w:sz="8" w:color="0000EE"/>
            </w:tcBorders>
            <w:gridSpan w:val="5"/>
          </w:tcPr>
          <w:p>
            <w:pPr>
              <w:spacing w:after="0"/>
              <w:rPr>
                <w:sz w:val="13"/>
                <w:szCs w:val="13"/>
                <w:color w:val="auto"/>
              </w:rPr>
            </w:pPr>
          </w:p>
        </w:tc>
        <w:tc>
          <w:tcPr>
            <w:tcW w:w="420" w:type="dxa"/>
            <w:vAlign w:val="bottom"/>
            <w:gridSpan w:val="6"/>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50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Amended and Restated Designation Agreement, dated as of April 24, 2026, by</w:t>
              </w:r>
            </w:hyperlink>
          </w:p>
        </w:tc>
        <w:tc>
          <w:tcPr>
            <w:tcW w:w="200" w:type="dxa"/>
            <w:vAlign w:val="bottom"/>
            <w:gridSpan w:val="3"/>
          </w:tcPr>
          <w:p>
            <w:pPr>
              <w:spacing w:after="0"/>
              <w:rPr>
                <w:sz w:val="20"/>
                <w:szCs w:val="20"/>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001-40440</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April 24, 2026</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4700" w:type="dxa"/>
            <w:vAlign w:val="bottom"/>
            <w:gridSpan w:val="17"/>
          </w:tcPr>
          <w:p>
            <w:pPr>
              <w:spacing w:after="0" w:line="150"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and among Senti Biosciences Holdings, Inc., Senti Biosciences, Inc. and</w:t>
              </w:r>
            </w:hyperlink>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4100" w:type="dxa"/>
            <w:vAlign w:val="bottom"/>
            <w:tcBorders>
              <w:top w:val="single" w:sz="8" w:color="0000EE"/>
            </w:tcBorders>
            <w:gridSpan w:val="8"/>
          </w:tcPr>
          <w:p>
            <w:pPr>
              <w:spacing w:after="0" w:line="150"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Celadon Partners SPV 24</w:t>
              </w:r>
            </w:hyperlink>
          </w:p>
        </w:tc>
        <w:tc>
          <w:tcPr>
            <w:tcW w:w="60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70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Consent of KPMG LLP, Independent Registered Public Accounting Firm</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Consent of Gunderson Dettmer Stough Villeneuve Franklin &amp; Hachigian, LLP</w:t>
            </w:r>
          </w:p>
        </w:tc>
        <w:tc>
          <w:tcPr>
            <w:tcW w:w="240" w:type="dxa"/>
            <w:vAlign w:val="bottom"/>
            <w:gridSpan w:val="4"/>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470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(Included in Exhibit 5.1 hereto)</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70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Power of Attorney (Included in the signature page to this Registration Statement)</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6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hanging="345"/>
        <w:spacing w:after="0"/>
        <w:tabs>
          <w:tab w:leader="none" w:pos="1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3" w:lineRule="exact"/>
        <w:rPr>
          <w:sz w:val="20"/>
          <w:szCs w:val="20"/>
          <w:color w:val="auto"/>
        </w:rPr>
      </w:pPr>
    </w:p>
    <w:p>
      <w:pPr>
        <w:ind w:left="1660" w:right="799" w:hanging="345"/>
        <w:spacing w:after="0" w:line="266" w:lineRule="auto"/>
        <w:tabs>
          <w:tab w:leader="none" w:pos="1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supplementally a copy of all omitted exhibits and schedules to the Securities and Exchange Commission upon its request.</w:t>
      </w:r>
    </w:p>
    <w:p>
      <w:pPr>
        <w:spacing w:after="0" w:line="253" w:lineRule="exact"/>
        <w:rPr>
          <w:sz w:val="20"/>
          <w:szCs w:val="20"/>
          <w:color w:val="auto"/>
        </w:rPr>
      </w:pPr>
    </w:p>
    <w:p>
      <w:pPr>
        <w:ind w:left="1320"/>
        <w:spacing w:after="0"/>
        <w:tabs>
          <w:tab w:leader="none" w:pos="216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(a)</w:t>
      </w:r>
    </w:p>
    <w:p>
      <w:pPr>
        <w:spacing w:after="0" w:line="104" w:lineRule="exact"/>
        <w:rPr>
          <w:sz w:val="20"/>
          <w:szCs w:val="20"/>
          <w:color w:val="auto"/>
        </w:rPr>
      </w:pPr>
    </w:p>
    <w:p>
      <w:pPr>
        <w:ind w:left="2420" w:hanging="330"/>
        <w:spacing w:after="0"/>
        <w:tabs>
          <w:tab w:leader="none" w:pos="2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4" w:lineRule="exact"/>
        <w:rPr>
          <w:rFonts w:ascii="Times New Roman" w:cs="Times New Roman" w:eastAsia="Times New Roman" w:hAnsi="Times New Roman"/>
          <w:sz w:val="14"/>
          <w:szCs w:val="14"/>
          <w:color w:val="auto"/>
        </w:rPr>
      </w:pPr>
    </w:p>
    <w:p>
      <w:pPr>
        <w:ind w:left="2860" w:hanging="420"/>
        <w:spacing w:after="0"/>
        <w:tabs>
          <w:tab w:leader="none" w:pos="28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04" w:lineRule="exact"/>
        <w:rPr>
          <w:rFonts w:ascii="Times New Roman" w:cs="Times New Roman" w:eastAsia="Times New Roman" w:hAnsi="Times New Roman"/>
          <w:sz w:val="14"/>
          <w:szCs w:val="14"/>
          <w:color w:val="auto"/>
        </w:rPr>
      </w:pPr>
    </w:p>
    <w:p>
      <w:pPr>
        <w:jc w:val="both"/>
        <w:ind w:left="2860" w:right="199" w:hanging="420"/>
        <w:spacing w:after="0" w:line="270" w:lineRule="auto"/>
        <w:tabs>
          <w:tab w:leader="none" w:pos="28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ind w:left="2860" w:right="199"/>
        <w:spacing w:after="0" w:line="259" w:lineRule="auto"/>
        <w:rPr>
          <w:sz w:val="20"/>
          <w:szCs w:val="20"/>
          <w:color w:val="auto"/>
        </w:rPr>
      </w:pPr>
      <w:r>
        <w:rPr>
          <w:rFonts w:ascii="Times New Roman" w:cs="Times New Roman" w:eastAsia="Times New Roman" w:hAnsi="Times New Roman"/>
          <w:sz w:val="14"/>
          <w:szCs w:val="14"/>
          <w:color w:val="auto"/>
        </w:rPr>
        <w:t>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72" w:lineRule="exact"/>
        <w:rPr>
          <w:sz w:val="20"/>
          <w:szCs w:val="20"/>
          <w:color w:val="auto"/>
        </w:rPr>
      </w:pPr>
    </w:p>
    <w:p>
      <w:pPr>
        <w:ind w:left="2860" w:right="619" w:hanging="420"/>
        <w:spacing w:after="0" w:line="287" w:lineRule="auto"/>
        <w:tabs>
          <w:tab w:leader="none" w:pos="2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9" w:lineRule="exact"/>
        <w:rPr>
          <w:sz w:val="20"/>
          <w:szCs w:val="20"/>
          <w:color w:val="auto"/>
        </w:rPr>
      </w:pPr>
    </w:p>
    <w:p>
      <w:pPr>
        <w:ind w:left="2100" w:right="199"/>
        <w:spacing w:after="0" w:line="261" w:lineRule="auto"/>
        <w:rPr>
          <w:sz w:val="20"/>
          <w:szCs w:val="20"/>
          <w:color w:val="auto"/>
        </w:rPr>
      </w:pPr>
      <w:r>
        <w:rPr>
          <w:rFonts w:ascii="Times New Roman" w:cs="Times New Roman" w:eastAsia="Times New Roman" w:hAnsi="Times New Roman"/>
          <w:sz w:val="14"/>
          <w:szCs w:val="14"/>
          <w:color w:val="auto"/>
        </w:rPr>
        <w:t>Provided, however, that: paragraphs (a)(1)(i), (ii), and (iii)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 or, as to a registration statement on Form S-3, is contained in a form of prospectus that is part of the registration statement.</w:t>
      </w:r>
    </w:p>
    <w:p>
      <w:pPr>
        <w:spacing w:after="0" w:line="69" w:lineRule="exact"/>
        <w:rPr>
          <w:sz w:val="20"/>
          <w:szCs w:val="20"/>
          <w:color w:val="auto"/>
        </w:rPr>
      </w:pPr>
    </w:p>
    <w:p>
      <w:pPr>
        <w:ind w:left="2420" w:right="339" w:hanging="330"/>
        <w:spacing w:after="0" w:line="270" w:lineRule="auto"/>
        <w:tabs>
          <w:tab w:leader="none" w:pos="2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2420" w:right="339" w:hanging="330"/>
        <w:spacing w:after="0" w:line="287" w:lineRule="auto"/>
        <w:tabs>
          <w:tab w:leader="none" w:pos="2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2420" w:hanging="330"/>
        <w:spacing w:after="0"/>
        <w:tabs>
          <w:tab w:leader="none" w:pos="2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4" w:lineRule="exact"/>
        <w:rPr>
          <w:rFonts w:ascii="Times New Roman" w:cs="Times New Roman" w:eastAsia="Times New Roman" w:hAnsi="Times New Roman"/>
          <w:sz w:val="14"/>
          <w:szCs w:val="14"/>
          <w:color w:val="auto"/>
        </w:rPr>
      </w:pPr>
    </w:p>
    <w:p>
      <w:pPr>
        <w:ind w:left="2860" w:right="299" w:hanging="420"/>
        <w:spacing w:after="0" w:line="287" w:lineRule="auto"/>
        <w:tabs>
          <w:tab w:leader="none" w:pos="28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9" w:lineRule="exact"/>
        <w:rPr>
          <w:rFonts w:ascii="Times New Roman" w:cs="Times New Roman" w:eastAsia="Times New Roman" w:hAnsi="Times New Roman"/>
          <w:sz w:val="14"/>
          <w:szCs w:val="14"/>
          <w:color w:val="auto"/>
        </w:rPr>
      </w:pPr>
    </w:p>
    <w:p>
      <w:pPr>
        <w:ind w:left="2860" w:right="199" w:hanging="420"/>
        <w:spacing w:after="0" w:line="255" w:lineRule="auto"/>
        <w:tabs>
          <w:tab w:leader="none" w:pos="28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8" w:lineRule="exact"/>
        <w:rPr>
          <w:rFonts w:ascii="Times New Roman" w:cs="Times New Roman" w:eastAsia="Times New Roman" w:hAnsi="Times New Roman"/>
          <w:sz w:val="14"/>
          <w:szCs w:val="14"/>
          <w:color w:val="auto"/>
        </w:rPr>
      </w:pPr>
    </w:p>
    <w:p>
      <w:pPr>
        <w:jc w:val="both"/>
        <w:ind w:left="2420" w:right="299" w:hanging="330"/>
        <w:spacing w:after="0" w:line="270" w:lineRule="auto"/>
        <w:tabs>
          <w:tab w:leader="none" w:pos="24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5" w:lineRule="exact"/>
        <w:rPr>
          <w:sz w:val="20"/>
          <w:szCs w:val="20"/>
          <w:color w:val="auto"/>
        </w:rPr>
      </w:pPr>
    </w:p>
    <w:p>
      <w:pPr>
        <w:jc w:val="both"/>
        <w:ind w:left="2440" w:right="379"/>
        <w:spacing w:after="0" w:line="270" w:lineRule="auto"/>
        <w:rPr>
          <w:sz w:val="20"/>
          <w:szCs w:val="20"/>
          <w:color w:val="auto"/>
        </w:rPr>
      </w:pPr>
      <w:r>
        <w:rPr>
          <w:rFonts w:ascii="Times New Roman" w:cs="Times New Roman" w:eastAsia="Times New Roman" w:hAnsi="Times New Roman"/>
          <w:sz w:val="14"/>
          <w:szCs w:val="14"/>
          <w:color w:val="auto"/>
        </w:rPr>
        <w:t>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sz w:val="20"/>
          <w:szCs w:val="20"/>
          <w:color w:val="auto"/>
        </w:rPr>
      </w:pPr>
    </w:p>
    <w:p>
      <w:pPr>
        <w:ind w:left="2860" w:right="319" w:hanging="420"/>
        <w:spacing w:after="0" w:line="287" w:lineRule="auto"/>
        <w:tabs>
          <w:tab w:leader="none" w:pos="28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4"/>
          <w:szCs w:val="14"/>
          <w:color w:val="auto"/>
        </w:rPr>
      </w:pPr>
    </w:p>
    <w:p>
      <w:pPr>
        <w:ind w:left="2860" w:right="239" w:hanging="420"/>
        <w:spacing w:after="0" w:line="287" w:lineRule="auto"/>
        <w:tabs>
          <w:tab w:leader="none" w:pos="28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2860" w:right="879" w:hanging="420"/>
        <w:spacing w:after="0" w:line="287" w:lineRule="auto"/>
        <w:tabs>
          <w:tab w:leader="none" w:pos="28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2860" w:hanging="420"/>
        <w:spacing w:after="0"/>
        <w:tabs>
          <w:tab w:leader="none" w:pos="286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4" w:lineRule="exact"/>
        <w:rPr>
          <w:rFonts w:ascii="Times New Roman" w:cs="Times New Roman" w:eastAsia="Times New Roman" w:hAnsi="Times New Roman"/>
          <w:sz w:val="14"/>
          <w:szCs w:val="14"/>
          <w:color w:val="auto"/>
        </w:rPr>
      </w:pPr>
    </w:p>
    <w:p>
      <w:pPr>
        <w:ind w:left="2080" w:right="259" w:hanging="425"/>
        <w:spacing w:after="0" w:line="261" w:lineRule="auto"/>
        <w:tabs>
          <w:tab w:leader="none" w:pos="2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8" w:lineRule="exact"/>
        <w:rPr>
          <w:rFonts w:ascii="Times New Roman" w:cs="Times New Roman" w:eastAsia="Times New Roman" w:hAnsi="Times New Roman"/>
          <w:sz w:val="14"/>
          <w:szCs w:val="14"/>
          <w:color w:val="auto"/>
        </w:rPr>
      </w:pPr>
    </w:p>
    <w:p>
      <w:pPr>
        <w:ind w:left="2080" w:right="299" w:hanging="425"/>
        <w:spacing w:after="0" w:line="257" w:lineRule="auto"/>
        <w:tabs>
          <w:tab w:leader="none" w:pos="20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II-8</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jc w:val="both"/>
        <w:ind w:left="1320" w:right="319"/>
        <w:spacing w:after="0" w:line="27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this Form S-3 and has duly caused this registration statement to be signed on its behalf by the undersigned, thereunto duly authorized in the City of South San Francisco, CA on June 18, 2026.</w:t>
      </w:r>
    </w:p>
    <w:p>
      <w:pPr>
        <w:spacing w:after="0" w:line="15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SENTI BIOSCIENCES HOLDINGS, INC.</w:t>
      </w:r>
    </w:p>
    <w:p>
      <w:pPr>
        <w:spacing w:after="0" w:line="18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Timothy Lu</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Name: Timothy Lu,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-101600</wp:posOffset>
            </wp:positionV>
            <wp:extent cx="20415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2041525" cy="6985"/>
                    </a:xfrm>
                    <a:prstGeom prst="rect">
                      <a:avLst/>
                    </a:prstGeom>
                    <a:noFill/>
                  </pic:spPr>
                </pic:pic>
              </a:graphicData>
            </a:graphic>
          </wp:anchor>
        </w:drawing>
      </w:r>
    </w:p>
    <w:p>
      <w:pPr>
        <w:ind w:left="680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Table of Contents</w:t>
      </w:r>
    </w:p>
    <w:p>
      <w:pPr>
        <w:spacing w:after="0" w:line="25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9" w:lineRule="exact"/>
        <w:rPr>
          <w:sz w:val="20"/>
          <w:szCs w:val="20"/>
          <w:color w:val="auto"/>
        </w:rPr>
      </w:pPr>
    </w:p>
    <w:p>
      <w:pPr>
        <w:ind w:left="1320" w:right="299"/>
        <w:spacing w:after="0" w:line="257"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 constitutes and appoints Timothy Lu and Jay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Cross, and each of them acting individually, as his or her true and lawful attorney-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attorney-in-fact and agent,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148" w:lineRule="exact"/>
        <w:rPr>
          <w:sz w:val="20"/>
          <w:szCs w:val="20"/>
          <w:color w:val="auto"/>
        </w:rPr>
      </w:pPr>
    </w:p>
    <w:p>
      <w:pPr>
        <w:ind w:left="1320" w:right="21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41"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3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2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Timothy Lu</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Timothy Lu, M.D., Ph.D.</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80" w:type="dxa"/>
            <w:vAlign w:val="bottom"/>
          </w:tcPr>
          <w:p>
            <w:pPr>
              <w:spacing w:after="0"/>
              <w:rPr>
                <w:sz w:val="15"/>
                <w:szCs w:val="15"/>
                <w:color w:val="auto"/>
              </w:rPr>
            </w:pPr>
          </w:p>
        </w:tc>
      </w:tr>
      <w:tr>
        <w:trPr>
          <w:trHeight w:val="33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Jay Cross</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36"/>
        </w:trPr>
        <w:tc>
          <w:tcPr>
            <w:tcW w:w="39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Jay Cross</w:t>
            </w:r>
          </w:p>
        </w:tc>
        <w:tc>
          <w:tcPr>
            <w:tcW w:w="31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(Principal Financial Officer and</w:t>
            </w:r>
          </w:p>
        </w:tc>
        <w:tc>
          <w:tcPr>
            <w:tcW w:w="1280" w:type="dxa"/>
            <w:vAlign w:val="bottom"/>
          </w:tcPr>
          <w:p>
            <w:pPr>
              <w:spacing w:after="0"/>
              <w:rPr>
                <w:sz w:val="11"/>
                <w:szCs w:val="11"/>
                <w:color w:val="auto"/>
              </w:rPr>
            </w:pPr>
          </w:p>
        </w:tc>
      </w:tr>
      <w:tr>
        <w:trPr>
          <w:trHeight w:val="184"/>
        </w:trPr>
        <w:tc>
          <w:tcPr>
            <w:tcW w:w="3900" w:type="dxa"/>
            <w:vAlign w:val="bottom"/>
          </w:tcPr>
          <w:p>
            <w:pPr>
              <w:spacing w:after="0"/>
              <w:rPr>
                <w:sz w:val="16"/>
                <w:szCs w:val="16"/>
                <w:color w:val="auto"/>
              </w:rPr>
            </w:pP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280" w:type="dxa"/>
            <w:vAlign w:val="bottom"/>
          </w:tcPr>
          <w:p>
            <w:pPr>
              <w:spacing w:after="0"/>
              <w:rPr>
                <w:sz w:val="16"/>
                <w:szCs w:val="16"/>
                <w:color w:val="auto"/>
              </w:rPr>
            </w:pPr>
          </w:p>
        </w:tc>
      </w:tr>
      <w:tr>
        <w:trPr>
          <w:trHeight w:val="350"/>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Bryan Baum</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Bryan Baum</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James (Jim) Collins</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(Jim) Collins, Ph.D.</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Brenda Cooperstone</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Brenda Cooperstone, M.D.</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Feng Hsiung</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Feng Hsiung</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Edward Mathers</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Edward Mathers</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Frances D. Schulz</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Frances D. Schulz</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36"/>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Donald Tang</w:t>
            </w:r>
          </w:p>
        </w:tc>
        <w:tc>
          <w:tcPr>
            <w:tcW w:w="314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June 18, 2026</w:t>
            </w:r>
          </w:p>
        </w:tc>
      </w:tr>
      <w:tr>
        <w:trPr>
          <w:trHeight w:val="175"/>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Donald Tang</w:t>
            </w:r>
          </w:p>
        </w:tc>
        <w:tc>
          <w:tcPr>
            <w:tcW w:w="3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82"/>
        </w:trPr>
        <w:tc>
          <w:tcPr>
            <w:tcW w:w="3900" w:type="dxa"/>
            <w:vAlign w:val="bottom"/>
          </w:tcPr>
          <w:p>
            <w:pPr>
              <w:spacing w:after="0"/>
              <w:rPr>
                <w:sz w:val="24"/>
                <w:szCs w:val="24"/>
                <w:color w:val="auto"/>
              </w:rPr>
            </w:pPr>
          </w:p>
        </w:tc>
        <w:tc>
          <w:tcPr>
            <w:tcW w:w="3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II-10</w:t>
            </w:r>
          </w:p>
        </w:tc>
        <w:tc>
          <w:tcPr>
            <w:tcW w:w="1280" w:type="dxa"/>
            <w:vAlign w:val="bottom"/>
          </w:tcPr>
          <w:p>
            <w:pPr>
              <w:spacing w:after="0"/>
              <w:rPr>
                <w:sz w:val="24"/>
                <w:szCs w:val="24"/>
                <w:color w:val="auto"/>
              </w:rPr>
            </w:pPr>
          </w:p>
        </w:tc>
      </w:tr>
    </w:tbl>
    <w:p>
      <w:pPr>
        <w:sectPr>
          <w:pgSz w:w="11900" w:h="16838" w:orient="portrait"/>
          <w:cols w:equalWidth="0" w:num="1">
            <w:col w:w="10159"/>
          </w:cols>
          <w:pgMar w:left="300" w:top="388" w:right="1440" w:bottom="1440" w:gutter="0" w:footer="0" w:header="0"/>
        </w:sectPr>
      </w:pPr>
    </w:p>
    <w:bookmarkStart w:id="38" w:name="page39"/>
    <w:bookmarkEnd w:id="38"/>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137160</wp:posOffset>
            </wp:positionV>
            <wp:extent cx="4857750" cy="653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4857750" cy="65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June 18, 2026</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Senti Biosciences Holdings, Inc.</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2 Corporate Drive, First Floor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South San Francisco, CA 94080</w:t>
      </w:r>
    </w:p>
    <w:p>
      <w:pPr>
        <w:spacing w:after="0" w:line="185" w:lineRule="exact"/>
        <w:rPr>
          <w:sz w:val="20"/>
          <w:szCs w:val="20"/>
          <w:color w:val="auto"/>
        </w:rPr>
      </w:pPr>
    </w:p>
    <w:p>
      <w:pPr>
        <w:ind w:left="180"/>
        <w:spacing w:after="0"/>
        <w:tabs>
          <w:tab w:leader="none" w:pos="500" w:val="left"/>
        </w:tabs>
        <w:rPr>
          <w:sz w:val="20"/>
          <w:szCs w:val="20"/>
          <w:color w:val="auto"/>
        </w:rPr>
      </w:pPr>
      <w:r>
        <w:rPr>
          <w:rFonts w:ascii="Times New Roman" w:cs="Times New Roman" w:eastAsia="Times New Roman" w:hAnsi="Times New Roman"/>
          <w:sz w:val="14"/>
          <w:szCs w:val="14"/>
          <w:color w:val="auto"/>
        </w:rPr>
        <w:t>Re:</w:t>
        <w:tab/>
        <w:t>Registration Statement on Form S-3</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4" w:lineRule="exact"/>
        <w:rPr>
          <w:sz w:val="20"/>
          <w:szCs w:val="20"/>
          <w:color w:val="auto"/>
        </w:rPr>
      </w:pPr>
    </w:p>
    <w:p>
      <w:pPr>
        <w:ind w:left="180" w:right="259"/>
        <w:spacing w:after="0" w:line="257" w:lineRule="auto"/>
        <w:rPr>
          <w:sz w:val="20"/>
          <w:szCs w:val="20"/>
          <w:color w:val="auto"/>
        </w:rPr>
      </w:pPr>
      <w:r>
        <w:rPr>
          <w:rFonts w:ascii="Times New Roman" w:cs="Times New Roman" w:eastAsia="Times New Roman" w:hAnsi="Times New Roman"/>
          <w:sz w:val="14"/>
          <w:szCs w:val="14"/>
          <w:color w:val="auto"/>
        </w:rPr>
        <w:t>This opinion is furnished to Senti Biosciences Holdings, Inc., a Delaware corporation (the “Company”), in connection with the filing by the Company with the Securities and Exchange Commission (“Commission”) on June 18, 2026 of the Registration Statement on Form S-3 (the “Registration Statement”) under the Securities Act of 1933, as amended (the “Act”), with respect to the reoffer and resale from time to time by the selling securityholder named in the prospectus (the “Prospectus”) forming a part of the Registration Statement under the heading “Selling Securityholder” (the “Selling Securityholder”) of up to 15,971,890 shares of the Company’s common stock, par value $0.0001 per share (the “Shares”) issuable upon the exchange of the Senior Secured Convertible Notes of Senti Holdings, Inc., our subsidiary (the “Notes”). All of the Shares are being registered on behalf of the Selling Securityholder. The Shares are to be offered and sold by the Selling Securityholder or its permitted transferee in the manner contemplated by the Prospectus.</w:t>
      </w:r>
    </w:p>
    <w:p>
      <w:pPr>
        <w:spacing w:after="0" w:line="149" w:lineRule="exact"/>
        <w:rPr>
          <w:sz w:val="20"/>
          <w:szCs w:val="20"/>
          <w:color w:val="auto"/>
        </w:rPr>
      </w:pPr>
    </w:p>
    <w:p>
      <w:pPr>
        <w:ind w:left="180" w:right="259"/>
        <w:spacing w:after="0" w:line="258"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and of the Selling Securityholder as to factual matters without having independently verified such factual matters. We have assumed the accuracy and completeness of each document submitted to us,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47" w:lineRule="exact"/>
        <w:rPr>
          <w:sz w:val="20"/>
          <w:szCs w:val="20"/>
          <w:color w:val="auto"/>
        </w:rPr>
      </w:pPr>
    </w:p>
    <w:p>
      <w:pPr>
        <w:jc w:val="both"/>
        <w:ind w:left="180" w:right="459"/>
        <w:spacing w:after="0" w:line="270"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resale of the Shares. Our opinion is limited to the matters stated herein and no opinion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182880</wp:posOffset>
            </wp:positionV>
            <wp:extent cx="2546985" cy="255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2546985" cy="25590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499745</wp:posOffset>
            </wp:positionV>
            <wp:extent cx="5497830" cy="74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5497830" cy="742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June 18, 2026</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Page 2</w:t>
      </w:r>
    </w:p>
    <w:p>
      <w:pPr>
        <w:spacing w:after="0" w:line="111"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4"/>
          <w:szCs w:val="14"/>
          <w:color w:val="auto"/>
        </w:rPr>
        <w:t>implied or may be inferred beyond the matters expressly stated. Our opinion herein is expressed solely with respect to the Federal laws of the United States of America and the Delaware General Corporation Law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43" w:lineRule="exact"/>
        <w:rPr>
          <w:sz w:val="20"/>
          <w:szCs w:val="20"/>
          <w:color w:val="auto"/>
        </w:rPr>
      </w:pPr>
    </w:p>
    <w:p>
      <w:pPr>
        <w:ind w:left="180" w:right="259"/>
        <w:spacing w:after="0" w:line="264" w:lineRule="auto"/>
        <w:rPr>
          <w:sz w:val="20"/>
          <w:szCs w:val="20"/>
          <w:color w:val="auto"/>
        </w:rPr>
      </w:pPr>
      <w:r>
        <w:rPr>
          <w:rFonts w:ascii="Times New Roman" w:cs="Times New Roman" w:eastAsia="Times New Roman" w:hAnsi="Times New Roman"/>
          <w:sz w:val="14"/>
          <w:szCs w:val="14"/>
          <w:color w:val="auto"/>
        </w:rPr>
        <w:t>With respect to the Shares, we express no opinion to the extent that, notwithstanding the Company’s current reservation of shares of Common Stock, future issuances of securities of the Company, including the Shares, and/or antidilution adjustments to outstanding securities of the Company, including the Notes, may cause the Notes to be exercisable for more shares of Common Stock than the number that then remain authorized but unissued. We have also assumed that at or prior to the time of the delivery of any of the Shares, the Registration Statement will have been declared effective under the Act.</w:t>
      </w:r>
    </w:p>
    <w:p>
      <w:pPr>
        <w:spacing w:after="0" w:line="140" w:lineRule="exact"/>
        <w:rPr>
          <w:sz w:val="20"/>
          <w:szCs w:val="20"/>
          <w:color w:val="auto"/>
        </w:rPr>
      </w:pPr>
    </w:p>
    <w:p>
      <w:pPr>
        <w:ind w:left="180" w:right="239"/>
        <w:spacing w:after="0" w:line="264" w:lineRule="auto"/>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the Shares have been duly authorized and, if issued on the date hereof upon the exchange of the Notes in accordance with the terms of the Notes and the resolutions adopted by the Board of Directors of the Company, would be validly issued, fully paid and non-assessable. In rendering the foregoing opinion, we have assumed that the Company will comply with all applicable notice requirements regarding uncertificated shares provided in the DGCL.</w:t>
      </w:r>
    </w:p>
    <w:p>
      <w:pPr>
        <w:spacing w:after="0" w:line="140"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Company’s Current Report on Form 8-K relating to the Shares, which is incorporated by reference in the Prospectus. In addition, we consent to the use of our name in the Registration Statement under the caption “Legal Matters.” In giving such consent, we do not thereby admit that we are in the category of persons whose consent is required under Section 7 of the Act or the rules and regulations of the Commission thereunder.</w:t>
      </w:r>
    </w:p>
    <w:p>
      <w:pPr>
        <w:spacing w:after="0" w:line="1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 Gunderson Dettmer Stough Villeneuve Franklin &amp; Hachigian, LLP</w:t>
      </w:r>
    </w:p>
    <w:p>
      <w:pPr>
        <w:sectPr>
          <w:pgSz w:w="11900" w:h="16838" w:orient="portrait"/>
          <w:cols w:equalWidth="0" w:num="1">
            <w:col w:w="9019"/>
          </w:cols>
          <w:pgMar w:left="1440" w:top="239" w:right="1440" w:bottom="1440" w:gutter="0" w:footer="0" w:header="0"/>
        </w:sectPr>
      </w:pPr>
    </w:p>
    <w:bookmarkStart w:id="40" w:name="page41"/>
    <w:bookmarkEnd w:id="40"/>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ind w:left="180" w:right="839"/>
        <w:spacing w:after="0" w:line="287" w:lineRule="auto"/>
        <w:rPr>
          <w:sz w:val="20"/>
          <w:szCs w:val="20"/>
          <w:color w:val="auto"/>
        </w:rPr>
      </w:pPr>
      <w:r>
        <w:rPr>
          <w:rFonts w:ascii="Times New Roman" w:cs="Times New Roman" w:eastAsia="Times New Roman" w:hAnsi="Times New Roman"/>
          <w:sz w:val="14"/>
          <w:szCs w:val="14"/>
          <w:color w:val="auto"/>
        </w:rPr>
        <w:t>We consent to the use of our report dated March 27, 2026, with respect to the consolidated financial statements of Senti Biosciences, Inc. and subsidiaries, incorporated herein by reference, and to the reference to our firm under the heading “Experts” in the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June 18, 2026</w:t>
      </w:r>
    </w:p>
    <w:p>
      <w:pPr>
        <w:sectPr>
          <w:pgSz w:w="11900" w:h="16838" w:orient="portrait"/>
          <w:cols w:equalWidth="0" w:num="1">
            <w:col w:w="9019"/>
          </w:cols>
          <w:pgMar w:left="1440" w:top="123" w:right="1440" w:bottom="1440" w:gutter="0" w:footer="0" w:header="0"/>
        </w:sectPr>
      </w:pPr>
    </w:p>
    <w:bookmarkStart w:id="41" w:name="page42"/>
    <w:bookmarkEnd w:id="41"/>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Senti Biosciences Holdings, Inc.</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ind w:right="15"/>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15,971,890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$ 0.9776</w:t>
            </w:r>
          </w:p>
        </w:tc>
        <w:tc>
          <w:tcPr>
            <w:tcW w:w="20" w:type="dxa"/>
            <w:vAlign w:val="bottom"/>
          </w:tcPr>
          <w:p>
            <w:pPr>
              <w:spacing w:after="0"/>
              <w:rPr>
                <w:sz w:val="8"/>
                <w:szCs w:val="8"/>
                <w:color w:val="auto"/>
              </w:rPr>
            </w:pPr>
          </w:p>
        </w:tc>
        <w:tc>
          <w:tcPr>
            <w:tcW w:w="1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$ 2,156.31</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7"/>
              </w:rPr>
              <w:t>15,614,119.66</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$ 2,156.31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w w:val="99"/>
              </w:rPr>
              <w:t>15,614,119.66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$ 2,156.31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60" w:hanging="183"/>
        <w:spacing w:after="0" w:line="232" w:lineRule="auto"/>
        <w:tabs>
          <w:tab w:leader="none" w:pos="220" w:val="left"/>
        </w:tabs>
        <w:numPr>
          <w:ilvl w:val="0"/>
          <w:numId w:val="23"/>
        </w:numPr>
        <w:rPr>
          <w:rFonts w:ascii="Arial" w:cs="Arial" w:eastAsia="Arial" w:hAnsi="Arial"/>
          <w:sz w:val="21"/>
          <w:szCs w:val="21"/>
          <w:color w:val="auto"/>
          <w:vertAlign w:val="superscript"/>
        </w:rPr>
      </w:pPr>
      <w:r>
        <w:rPr>
          <w:rFonts w:ascii="Arial" w:cs="Arial" w:eastAsia="Arial" w:hAnsi="Arial"/>
          <w:sz w:val="17"/>
          <w:szCs w:val="17"/>
          <w:color w:val="auto"/>
        </w:rPr>
        <w:t>(1) Represents the shares of common stock, $0.0001 par value per share (the "Common Stock"), of Senti Biosciences Holdings, Inc. (the "Registrant") that will be offered for resale by the selling securityholder pursuant to the registration statement to which this exhibit is attached. Pursuant to Rule 416 under the Securities Act of 1933, as amended (the "Securities Act"), the shares being registered hereunder include such indeterminate number of additional shares of common stock as may be issuable as a result of stock splits, stock dividends or similar transactions with respect to the shares being registered hereunder. (2) Consists of 15,971,890 shares of Common Stock, issuable upon exchange of the Senior Secured Convertible Notes of Senti Holdings, Inc., the Registrant's subsidiary. (3) This estimate is made pursuant to Rule 457(c) of the Securities Act solely for purposes of calculating the registration fee. The price per share and aggregate offering price are based upon the average of the high and low prices of the Registrant's Common Stock on June 12, 2026, as reported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92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3"/>
            <w:shd w:val="clear" w:color="auto" w:fill="9ADAF6"/>
          </w:tcPr>
          <w:p>
            <w:pPr>
              <w:jc w:val="center"/>
              <w:ind w:left="4"/>
              <w:spacing w:after="0" w:line="111" w:lineRule="exact"/>
              <w:rPr>
                <w:sz w:val="20"/>
                <w:szCs w:val="20"/>
                <w:color w:val="auto"/>
              </w:rPr>
            </w:pPr>
            <w:r>
              <w:rPr>
                <w:rFonts w:ascii="Arial" w:cs="Arial" w:eastAsia="Arial" w:hAnsi="Arial"/>
                <w:sz w:val="12"/>
                <w:szCs w:val="12"/>
                <w:b w:val="1"/>
                <w:bCs w:val="1"/>
                <w:color w:val="auto"/>
              </w:rPr>
              <w:t>Filing</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3"/>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5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shd w:val="clear" w:color="auto" w:fill="9ADAF6"/>
          </w:tcPr>
          <w:p>
            <w:pPr>
              <w:spacing w:after="0"/>
              <w:rPr>
                <w:sz w:val="21"/>
                <w:szCs w:val="21"/>
                <w:color w:val="auto"/>
              </w:rPr>
            </w:pPr>
          </w:p>
        </w:tc>
        <w:tc>
          <w:tcPr>
            <w:tcW w:w="20" w:type="dxa"/>
            <w:vAlign w:val="bottom"/>
            <w:shd w:val="clear" w:color="auto" w:fill="9ADAF6"/>
          </w:tcPr>
          <w:p>
            <w:pPr>
              <w:spacing w:after="0"/>
              <w:rPr>
                <w:sz w:val="21"/>
                <w:szCs w:val="21"/>
                <w:color w:val="auto"/>
              </w:rPr>
            </w:pPr>
          </w:p>
        </w:tc>
        <w:tc>
          <w:tcPr>
            <w:tcW w:w="1220" w:type="dxa"/>
            <w:vAlign w:val="bottom"/>
            <w:shd w:val="clear" w:color="auto" w:fill="9ADAF6"/>
          </w:tcPr>
          <w:p>
            <w:pPr>
              <w:jc w:val="center"/>
              <w:ind w:right="235"/>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21"/>
                <w:szCs w:val="21"/>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5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21"/>
                <w:szCs w:val="21"/>
                <w:color w:val="auto"/>
              </w:rPr>
            </w:pPr>
          </w:p>
        </w:tc>
        <w:tc>
          <w:tcPr>
            <w:tcW w:w="6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21"/>
                <w:szCs w:val="21"/>
                <w:color w:val="auto"/>
              </w:rPr>
            </w:pPr>
          </w:p>
        </w:tc>
        <w:tc>
          <w:tcPr>
            <w:tcW w:w="92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restart"/>
            <w:shd w:val="clear" w:color="auto" w:fill="9ADAF6"/>
          </w:tcPr>
          <w:p>
            <w:pPr>
              <w:jc w:val="center"/>
              <w:ind w:right="304"/>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1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3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lowerLetter"/>
      <w:start w:val="4"/>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9"/>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Roman"/>
      <w:start w:val="1"/>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decimal"/>
      <w:start w:val="2"/>
    </w:lvl>
    <w:lvl w:ilvl="1">
      <w:lvlJc w:val="left"/>
      <w:lvlText w:val="(%2)"/>
      <w:numFmt w:val="lowerRoman"/>
      <w:start w:val="1"/>
    </w:lvl>
  </w:abstractNum>
  <w:abstractNum w:abstractNumId="20">
    <w:nsid w:val="721DA317"/>
    <w:multiLevelType w:val="hybridMultilevel"/>
    <w:lvl w:ilvl="0">
      <w:lvlJc w:val="left"/>
      <w:lvlText w:val="%1"/>
      <w:numFmt w:val="lowerLetter"/>
      <w:start w:val="1"/>
    </w:lvl>
    <w:lvl w:ilvl="1">
      <w:lvlJc w:val="left"/>
      <w:lvlText w:val="(%2)"/>
      <w:numFmt w:val="lowerRoman"/>
      <w:start w:val="1"/>
    </w:lvl>
  </w:abstractNum>
  <w:abstractNum w:abstractNumId="21">
    <w:nsid w:val="2443A858"/>
    <w:multiLevelType w:val="hybridMultilevel"/>
    <w:lvl w:ilvl="0">
      <w:lvlJc w:val="left"/>
      <w:lvlText w:val="(%1)"/>
      <w:numFmt w:val="lowerLetter"/>
      <w:start w:val="2"/>
    </w:lvl>
    <w:lvl w:ilvl="1">
      <w:lvlJc w:val="left"/>
      <w:lvlText w:val="%2"/>
      <w:numFmt w:val="lowerRoman"/>
      <w:start w:val="1"/>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jpe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82"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jpeg"/><Relationship Id="rId95" Type="http://schemas.openxmlformats.org/officeDocument/2006/relationships/image" Target="media/image64.jpeg"/><Relationship Id="rId96" Type="http://schemas.openxmlformats.org/officeDocument/2006/relationships/image" Target="media/image65.jpeg"/><Relationship Id="rId97" Type="http://schemas.openxmlformats.org/officeDocument/2006/relationships/image" Target="media/image66.png"/><Relationship Id="rId98" Type="http://schemas.openxmlformats.org/officeDocument/2006/relationships/image" Target="media/image67.png"/><Relationship Id="rId51" Type="http://schemas.openxmlformats.org/officeDocument/2006/relationships/hyperlink" Target="http://www.sec.gov/ix?doc=/Archives/edgar/data/0001854270/000162828026021580/snti-20251231.htm" TargetMode="External"/><Relationship Id="rId52" Type="http://schemas.openxmlformats.org/officeDocument/2006/relationships/hyperlink" Target="http://www.sec.gov/ix?doc=/Archives/edgar/data/0001854270/000162828026028429/snti-20251231.htm" TargetMode="External"/><Relationship Id="rId53" Type="http://schemas.openxmlformats.org/officeDocument/2006/relationships/hyperlink" Target="http://www.sec.gov/ix?doc=/Archives/edgar/data/0001854270/000162828026035126/snti-20260331.htm" TargetMode="External"/><Relationship Id="rId54" Type="http://schemas.openxmlformats.org/officeDocument/2006/relationships/hyperlink" Target="http://www.sec.gov/ix?doc=/Archives/edgar/data/0001854270/000162828026019789/snti-20260317.htm" TargetMode="External"/><Relationship Id="rId55" Type="http://schemas.openxmlformats.org/officeDocument/2006/relationships/hyperlink" Target="http://www.sec.gov/ix?doc=/Archives/edgar/data/0001854270/000162828026022824/snti-20260401.htm" TargetMode="External"/><Relationship Id="rId56" Type="http://schemas.openxmlformats.org/officeDocument/2006/relationships/hyperlink" Target="http://www.sec.gov/ix?doc=/Archives/edgar/data/0001854270/000119312526177157/d279931d8k12b.htm" TargetMode="External"/><Relationship Id="rId57" Type="http://schemas.openxmlformats.org/officeDocument/2006/relationships/hyperlink" Target="http://www.sec.gov/ix?doc=/Archives/edgar/data/0001854270/000162828026029320/snti-20260427.htm" TargetMode="External"/><Relationship Id="rId58" Type="http://schemas.openxmlformats.org/officeDocument/2006/relationships/hyperlink" Target="http://www.sec.gov/ix?doc=/Archives/edgar/data/1854270/000162828026034834/snti-20260514.htm" TargetMode="External"/><Relationship Id="rId59" Type="http://schemas.openxmlformats.org/officeDocument/2006/relationships/hyperlink" Target="http://www.sec.gov/ix?doc=/Archives/edgar/data/0001854270/000162828026038058/snti-20260520.htm" TargetMode="External"/><Relationship Id="rId73" Type="http://schemas.openxmlformats.org/officeDocument/2006/relationships/hyperlink" Target="http://www.sec.gov/Archives/edgar/data/1854270/000119312522146450/d189920ds4a.htm#rom189920_361" TargetMode="External"/><Relationship Id="rId74" Type="http://schemas.openxmlformats.org/officeDocument/2006/relationships/hyperlink" Target="http://www.sec.gov/Archives/edgar/data/1854270/000119312522146450/d189920ds4a.htm#rom189920_361b" TargetMode="External"/><Relationship Id="rId75" Type="http://schemas.openxmlformats.org/officeDocument/2006/relationships/hyperlink" Target="http://www.sec.gov/Archives/edgar/data/1854270/000119312522158089/d282881dex21.htm" TargetMode="External"/><Relationship Id="rId76" Type="http://schemas.openxmlformats.org/officeDocument/2006/relationships/hyperlink" Target="http://www.sec.gov/Archives/edgar/data/0001854270/000119312526177157/d279931dex21.htm" TargetMode="External"/><Relationship Id="rId77" Type="http://schemas.openxmlformats.org/officeDocument/2006/relationships/hyperlink" Target="http://www.sec.gov/Archives/edgar/data/0001854270/000119312526177157/d279931dex31.htm" TargetMode="External"/><Relationship Id="rId78" Type="http://schemas.openxmlformats.org/officeDocument/2006/relationships/hyperlink" Target="http://www.sec.gov/Archives/edgar/data/0001854270/000119312526177157/d279931dex32.htm" TargetMode="External"/><Relationship Id="rId79" Type="http://schemas.openxmlformats.org/officeDocument/2006/relationships/hyperlink" Target="http://www.sec.gov/Archives/edgar/data/0001854270/000119312526177157/d279931dex33.htm" TargetMode="External"/><Relationship Id="rId80" Type="http://schemas.openxmlformats.org/officeDocument/2006/relationships/hyperlink" Target="http://www.sec.gov/Archives/edgar/data/0001854270/000119312522174498/d360749dex32.htm" TargetMode="External"/><Relationship Id="rId81" Type="http://schemas.openxmlformats.org/officeDocument/2006/relationships/hyperlink" Target="http://www.sec.gov/Archives/edgar/data/0001854270/000119312526177157/d279931dex41.htm" TargetMode="External"/><Relationship Id="rId83" Type="http://schemas.openxmlformats.org/officeDocument/2006/relationships/hyperlink" Target="http://www.sec.gov/Archives/edgar/data/0001854270/000162828026029320/exhibit102-formofnote.htm" TargetMode="External"/><Relationship Id="rId84" Type="http://schemas.openxmlformats.org/officeDocument/2006/relationships/hyperlink" Target="http://www.sec.gov/Archives/edgar/data/0001854270/000162828026029320/exhibit101-securitiespurch.htm" TargetMode="External"/><Relationship Id="rId85" Type="http://schemas.openxmlformats.org/officeDocument/2006/relationships/hyperlink" Target="http://www.sec.gov/Archives/edgar/data/0001854270/000162828026029320/exhibit103-formofguarantee.htm" TargetMode="External"/><Relationship Id="rId86" Type="http://schemas.openxmlformats.org/officeDocument/2006/relationships/hyperlink" Target="http://www.sec.gov/Archives/edgar/data/0001854270/000162828026029320/exhibit104-formofregistrat.htm" TargetMode="External"/><Relationship Id="rId87" Type="http://schemas.openxmlformats.org/officeDocument/2006/relationships/hyperlink" Target="http://www.sec.gov/Archives/edgar/data/0001854270/000162828026029320/exhibit105-formofvotingagr.htm" TargetMode="External"/><Relationship Id="rId88" Type="http://schemas.openxmlformats.org/officeDocument/2006/relationships/hyperlink" Target="http://www.sec.gov/Archives/edgar/data/0001854270/000119312526177157/d27993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2026-06-18T16:28:28Z</dcterms:created>
  <dcterms:modified xsi:type="dcterms:W3CDTF">2026-06-18T16:28:28Z</dcterms:modified>
</cp:coreProperties>
</file>